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shd w:val="clear" w:color="auto" w:fill="0000FF"/>
        <w:tblLook w:val="01E0" w:firstRow="1" w:lastRow="1" w:firstColumn="1" w:lastColumn="1" w:noHBand="0" w:noVBand="0"/>
      </w:tblPr>
      <w:tblGrid>
        <w:gridCol w:w="2244"/>
        <w:gridCol w:w="5807"/>
        <w:gridCol w:w="2040"/>
      </w:tblGrid>
      <w:tr w:rsidR="00C03643" w14:paraId="6B909C4A" w14:textId="77777777">
        <w:tc>
          <w:tcPr>
            <w:tcW w:w="2263" w:type="dxa"/>
            <w:shd w:val="clear" w:color="auto" w:fill="auto"/>
          </w:tcPr>
          <w:p w14:paraId="693E3AFA" w14:textId="25AF5496" w:rsidR="00C03643" w:rsidRPr="00A037F3" w:rsidRDefault="00A037F3">
            <w:pPr>
              <w:pStyle w:val="SubjectHeading"/>
              <w:rPr>
                <w:b w:val="0"/>
                <w:i w:val="0"/>
                <w:color w:val="auto"/>
                <w:sz w:val="18"/>
                <w:lang w:val="en-US"/>
              </w:rPr>
            </w:pPr>
            <w:r w:rsidRPr="00A037F3">
              <w:rPr>
                <w:b w:val="0"/>
                <w:i w:val="0"/>
                <w:color w:val="auto"/>
                <w:sz w:val="18"/>
                <w:lang w:val="en-US"/>
              </w:rPr>
              <w:t>SAAGAS 2</w:t>
            </w:r>
            <w:r w:rsidR="00B86273">
              <w:rPr>
                <w:b w:val="0"/>
                <w:i w:val="0"/>
                <w:color w:val="auto"/>
                <w:sz w:val="18"/>
                <w:lang w:val="en-US"/>
              </w:rPr>
              <w:t>8</w:t>
            </w:r>
          </w:p>
        </w:tc>
        <w:tc>
          <w:tcPr>
            <w:tcW w:w="5892" w:type="dxa"/>
          </w:tcPr>
          <w:p w14:paraId="1369734C" w14:textId="77777777" w:rsidR="00C03643" w:rsidRDefault="00C03643">
            <w:pPr>
              <w:pStyle w:val="ManuscriptID"/>
              <w:rPr>
                <w:lang w:val="en-US"/>
              </w:rPr>
            </w:pPr>
          </w:p>
        </w:tc>
        <w:tc>
          <w:tcPr>
            <w:tcW w:w="2046" w:type="dxa"/>
            <w:shd w:val="clear" w:color="auto" w:fill="3366FF"/>
            <w:vAlign w:val="center"/>
          </w:tcPr>
          <w:p w14:paraId="4F78E25B" w14:textId="77777777" w:rsidR="00C03643" w:rsidRPr="00C03643" w:rsidRDefault="002E3AB5" w:rsidP="00C03643">
            <w:pPr>
              <w:pStyle w:val="ManuscriptID"/>
              <w:spacing w:after="0"/>
              <w:rPr>
                <w:b/>
                <w:i/>
                <w:color w:val="FFFFFF"/>
                <w:sz w:val="21"/>
                <w:szCs w:val="21"/>
                <w:lang w:val="en-US"/>
              </w:rPr>
            </w:pPr>
            <w:r>
              <w:rPr>
                <w:b/>
                <w:i/>
                <w:color w:val="FFFFFF"/>
                <w:sz w:val="21"/>
                <w:szCs w:val="21"/>
                <w:lang w:val="en-US"/>
              </w:rPr>
              <w:t>Palaeontology</w:t>
            </w:r>
          </w:p>
        </w:tc>
      </w:tr>
    </w:tbl>
    <w:p w14:paraId="25C8BDEB" w14:textId="77777777" w:rsidR="00DE4205" w:rsidRDefault="002E3AB5">
      <w:pPr>
        <w:pStyle w:val="Title"/>
        <w:rPr>
          <w:lang w:val="en-US"/>
        </w:rPr>
      </w:pPr>
      <w:r>
        <w:rPr>
          <w:lang w:val="en-US"/>
        </w:rPr>
        <w:t>Neutron activation analysis of glacial mammoth bones</w:t>
      </w:r>
    </w:p>
    <w:p w14:paraId="212A9DBD" w14:textId="77777777" w:rsidR="00DE4205" w:rsidRPr="00C83DA5" w:rsidRDefault="00C83DA5">
      <w:pPr>
        <w:pStyle w:val="Authors"/>
      </w:pPr>
      <w:r w:rsidRPr="00C83DA5">
        <w:t>H</w:t>
      </w:r>
      <w:r w:rsidR="00C03643">
        <w:t>erib</w:t>
      </w:r>
      <w:r w:rsidRPr="00C83DA5">
        <w:t>ert Mark</w:t>
      </w:r>
      <w:r w:rsidR="00C03643">
        <w:t>s</w:t>
      </w:r>
      <w:r w:rsidRPr="00C83DA5">
        <w:t xml:space="preserve">bichler </w:t>
      </w:r>
      <w:r w:rsidRPr="00C83DA5">
        <w:rPr>
          <w:vertAlign w:val="superscript"/>
        </w:rPr>
        <w:t>a,</w:t>
      </w:r>
      <w:r w:rsidR="00DE4205" w:rsidRPr="00C83DA5">
        <w:rPr>
          <w:vertAlign w:val="superscript"/>
        </w:rPr>
        <w:t>*</w:t>
      </w:r>
      <w:r w:rsidR="00DE4205" w:rsidRPr="00C83DA5">
        <w:t xml:space="preserve">, </w:t>
      </w:r>
      <w:r w:rsidR="00CF3996">
        <w:t>Thomas</w:t>
      </w:r>
      <w:r w:rsidRPr="00C83DA5">
        <w:t xml:space="preserve"> F. McQueen </w:t>
      </w:r>
      <w:r w:rsidRPr="00C83DA5">
        <w:rPr>
          <w:vertAlign w:val="superscript"/>
        </w:rPr>
        <w:t>b</w:t>
      </w:r>
      <w:r w:rsidRPr="00C83DA5">
        <w:t>, Reinhard Madlehner</w:t>
      </w:r>
      <w:r>
        <w:t xml:space="preserve"> </w:t>
      </w:r>
      <w:r w:rsidRPr="00C83DA5">
        <w:rPr>
          <w:vertAlign w:val="superscript"/>
        </w:rPr>
        <w:t>a</w:t>
      </w:r>
    </w:p>
    <w:p w14:paraId="7AF22C6E" w14:textId="77777777" w:rsidR="00DE4205" w:rsidRPr="00C83DA5" w:rsidRDefault="00C83DA5" w:rsidP="00C83DA5">
      <w:pPr>
        <w:pStyle w:val="Affiliation"/>
        <w:rPr>
          <w:lang w:val="en-GB"/>
        </w:rPr>
        <w:sectPr w:rsidR="00DE4205" w:rsidRPr="00C83DA5">
          <w:footerReference w:type="even" r:id="rId6"/>
          <w:footerReference w:type="default" r:id="rId7"/>
          <w:pgSz w:w="11906" w:h="16838" w:code="9"/>
          <w:pgMar w:top="1134" w:right="851" w:bottom="1225" w:left="851" w:header="709" w:footer="709" w:gutter="0"/>
          <w:cols w:space="284" w:equalWidth="0">
            <w:col w:w="10204"/>
          </w:cols>
          <w:docGrid w:linePitch="360"/>
        </w:sectPr>
      </w:pPr>
      <w:r>
        <w:rPr>
          <w:vertAlign w:val="superscript"/>
          <w:lang w:val="de-DE"/>
        </w:rPr>
        <w:t>a</w:t>
      </w:r>
      <w:r w:rsidRPr="00C83DA5">
        <w:rPr>
          <w:lang w:val="de-DE"/>
        </w:rPr>
        <w:t xml:space="preserve"> </w:t>
      </w:r>
      <w:r w:rsidR="00CF3996">
        <w:rPr>
          <w:lang w:val="de-DE"/>
        </w:rPr>
        <w:t xml:space="preserve">Freie </w:t>
      </w:r>
      <w:r w:rsidRPr="00C83DA5">
        <w:rPr>
          <w:lang w:val="de-DE"/>
        </w:rPr>
        <w:t>Univ</w:t>
      </w:r>
      <w:r>
        <w:rPr>
          <w:lang w:val="de-DE"/>
        </w:rPr>
        <w:t>ersität Wien, Institut für Analytische</w:t>
      </w:r>
      <w:r w:rsidR="00A726B8">
        <w:rPr>
          <w:lang w:val="de-DE"/>
        </w:rPr>
        <w:t xml:space="preserve"> und</w:t>
      </w:r>
      <w:r>
        <w:rPr>
          <w:lang w:val="de-DE"/>
        </w:rPr>
        <w:t xml:space="preserve"> </w:t>
      </w:r>
      <w:r w:rsidR="00A726B8">
        <w:rPr>
          <w:lang w:val="de-DE"/>
        </w:rPr>
        <w:t>Radiochemie</w:t>
      </w:r>
      <w:r>
        <w:rPr>
          <w:lang w:val="de-DE"/>
        </w:rPr>
        <w:t xml:space="preserve">, Krottenbachstr. </w:t>
      </w:r>
      <w:r w:rsidRPr="00C83DA5">
        <w:rPr>
          <w:lang w:val="en-GB"/>
        </w:rPr>
        <w:t xml:space="preserve">52, 1190 Wien, Österreich; </w:t>
      </w:r>
      <w:r w:rsidRPr="00C83DA5">
        <w:rPr>
          <w:vertAlign w:val="superscript"/>
          <w:lang w:val="en-GB"/>
        </w:rPr>
        <w:t>b</w:t>
      </w:r>
      <w:r w:rsidRPr="00C83DA5">
        <w:rPr>
          <w:lang w:val="en-GB"/>
        </w:rPr>
        <w:t xml:space="preserve"> </w:t>
      </w:r>
      <w:r w:rsidR="00CF3996">
        <w:t xml:space="preserve">Dalhousie University, </w:t>
      </w:r>
      <w:r>
        <w:t>Department of Chemistry, Halifax, NS, Canada B3H 4J3</w:t>
      </w:r>
      <w:r w:rsidR="00CF3996">
        <w:t xml:space="preserve">; * </w:t>
      </w:r>
      <w:r w:rsidR="002E3AB5">
        <w:t>Corresponding author</w:t>
      </w:r>
      <w:r w:rsidR="00CF3996">
        <w:t>: herbert.mark</w:t>
      </w:r>
      <w:r w:rsidR="002E3AB5">
        <w:t>s</w:t>
      </w:r>
      <w:r w:rsidR="00CF3996">
        <w:t>bichler@gmx.com</w:t>
      </w:r>
    </w:p>
    <w:p w14:paraId="379F70D2" w14:textId="77777777" w:rsidR="00CF3996" w:rsidRPr="001945F8" w:rsidRDefault="005B4BFD" w:rsidP="00291EC0">
      <w:pPr>
        <w:pStyle w:val="Formatvorlage9ptBlock"/>
        <w:rPr>
          <w:lang w:val="en-GB"/>
        </w:rPr>
      </w:pPr>
      <w:r>
        <w:rPr>
          <w:lang w:val="en-GB"/>
        </w:rPr>
        <w:t xml:space="preserve">This is regular text. The title should be concise and as short as possible. The blue field on the top of the page should contain a single key word characterizing your work most accurately, e.g., geochemistry, error calculation, counting correction, forensics, PGNAA, etc. </w:t>
      </w:r>
    </w:p>
    <w:p w14:paraId="7AB801AD" w14:textId="77777777" w:rsidR="00DE4205" w:rsidRPr="00291EC0" w:rsidRDefault="005B4BFD" w:rsidP="00291EC0">
      <w:pPr>
        <w:pStyle w:val="Formatvorlage9ptBlock"/>
        <w:ind w:firstLine="425"/>
      </w:pPr>
      <w:r>
        <w:t xml:space="preserve">Paragraphs should be done like here. </w:t>
      </w:r>
      <w:r w:rsidRPr="005B4BFD">
        <w:rPr>
          <w:lang w:val="en-GB"/>
        </w:rPr>
        <w:t xml:space="preserve">The abstract should not be longer than one A4 page. </w:t>
      </w:r>
      <w:r>
        <w:rPr>
          <w:lang w:val="en-GB"/>
        </w:rPr>
        <w:t xml:space="preserve">Tables and figures can be integrated with the text, as long as the page limit is maintained. </w:t>
      </w:r>
    </w:p>
    <w:p w14:paraId="00253E71" w14:textId="77777777" w:rsidR="00C702A6" w:rsidRDefault="005B4BFD" w:rsidP="00C702A6">
      <w:pPr>
        <w:pStyle w:val="Subsection"/>
      </w:pPr>
      <w:r>
        <w:t>Subheadings</w:t>
      </w:r>
    </w:p>
    <w:p w14:paraId="2FD91A71" w14:textId="77777777" w:rsidR="005B4BFD" w:rsidRDefault="005B4BFD" w:rsidP="00291EC0">
      <w:pPr>
        <w:pStyle w:val="Formatvorlage9ptBlock"/>
        <w:rPr>
          <w:lang w:val="en-GB"/>
        </w:rPr>
      </w:pPr>
      <w:r w:rsidRPr="00A80613">
        <w:rPr>
          <w:lang w:val="en-GB"/>
        </w:rPr>
        <w:t>If necessary, the text can be split in</w:t>
      </w:r>
      <w:r w:rsidR="00A80613" w:rsidRPr="00A80613">
        <w:rPr>
          <w:lang w:val="en-GB"/>
        </w:rPr>
        <w:t>to</w:t>
      </w:r>
      <w:r w:rsidRPr="00A80613">
        <w:rPr>
          <w:lang w:val="en-GB"/>
        </w:rPr>
        <w:t xml:space="preserve"> subsections. </w:t>
      </w:r>
      <w:r w:rsidRPr="00166BFE">
        <w:rPr>
          <w:lang w:val="en-GB"/>
        </w:rPr>
        <w:t xml:space="preserve">This is an example. </w:t>
      </w:r>
      <w:r w:rsidR="00A80613">
        <w:rPr>
          <w:lang w:val="en-GB"/>
        </w:rPr>
        <w:t>To</w:t>
      </w:r>
      <w:r w:rsidR="00166BFE" w:rsidRPr="00166BFE">
        <w:rPr>
          <w:lang w:val="en-GB"/>
        </w:rPr>
        <w:t xml:space="preserve"> keep the abstract short, no separate heading for the </w:t>
      </w:r>
      <w:r w:rsidR="00166BFE">
        <w:rPr>
          <w:lang w:val="en-GB"/>
        </w:rPr>
        <w:t>Introduction is needed.</w:t>
      </w:r>
    </w:p>
    <w:p w14:paraId="36D82D08" w14:textId="77777777" w:rsidR="00166BFE" w:rsidRPr="00166BFE" w:rsidRDefault="00166BFE" w:rsidP="00291EC0">
      <w:pPr>
        <w:pStyle w:val="Formatvorlage9ptBlock"/>
        <w:rPr>
          <w:lang w:val="en-GB"/>
        </w:rPr>
      </w:pPr>
      <w:r>
        <w:rPr>
          <w:lang w:val="en-GB"/>
        </w:rPr>
        <w:tab/>
        <w:t xml:space="preserve">After the heading, the paragraph is not indented. </w:t>
      </w:r>
    </w:p>
    <w:p w14:paraId="1E4454D0" w14:textId="77777777" w:rsidR="00893AF2" w:rsidRPr="00166BFE" w:rsidRDefault="00D8615C" w:rsidP="00C702A6">
      <w:pPr>
        <w:pStyle w:val="Subsection"/>
        <w:rPr>
          <w:lang w:val="en-GB"/>
        </w:rPr>
      </w:pPr>
      <w:r w:rsidRPr="00166BFE">
        <w:rPr>
          <w:lang w:val="en-GB"/>
        </w:rPr>
        <w:t>Proceedings</w:t>
      </w:r>
    </w:p>
    <w:p w14:paraId="3E767F49" w14:textId="77777777" w:rsidR="00166BFE" w:rsidRPr="00166BFE" w:rsidRDefault="00166BFE" w:rsidP="00291EC0">
      <w:pPr>
        <w:pStyle w:val="Formatvorlage9ptBlock"/>
      </w:pPr>
      <w:r w:rsidRPr="00166BFE">
        <w:rPr>
          <w:lang w:val="en-GB"/>
        </w:rPr>
        <w:t xml:space="preserve">We are currently trying to arrange for a Proceedings volume in Applied Radiation and Isotopes. </w:t>
      </w:r>
      <w:r>
        <w:rPr>
          <w:lang w:val="en-GB"/>
        </w:rPr>
        <w:t xml:space="preserve">If Elsevier accepts our proposition, all participants will have the opportunity to submit original works in English at the Conference. For this reason, the abstracts should be kept concise. </w:t>
      </w:r>
      <w:r w:rsidRPr="00166BFE">
        <w:t>For further information, please visit our web page [1].</w:t>
      </w:r>
    </w:p>
    <w:p w14:paraId="62FDF78C" w14:textId="77777777" w:rsidR="00C702A6" w:rsidRPr="00166BFE" w:rsidRDefault="00166BFE" w:rsidP="00D8615C">
      <w:pPr>
        <w:pStyle w:val="Subsection"/>
        <w:rPr>
          <w:lang w:val="en-GB"/>
        </w:rPr>
      </w:pPr>
      <w:r w:rsidRPr="00166BFE">
        <w:rPr>
          <w:lang w:val="en-GB"/>
        </w:rPr>
        <w:t>Examples for tables and figures</w:t>
      </w:r>
    </w:p>
    <w:p w14:paraId="440EA281" w14:textId="77777777" w:rsidR="00D8615C" w:rsidRPr="00166BFE" w:rsidRDefault="00166BFE" w:rsidP="00291EC0">
      <w:pPr>
        <w:pStyle w:val="Formatvorlage9ptBlock"/>
        <w:rPr>
          <w:lang w:val="en-GB"/>
        </w:rPr>
      </w:pPr>
      <w:r w:rsidRPr="00166BFE">
        <w:rPr>
          <w:lang w:val="en-GB"/>
        </w:rPr>
        <w:t>T</w:t>
      </w:r>
      <w:r>
        <w:rPr>
          <w:lang w:val="en-GB"/>
        </w:rPr>
        <w:t>able 1 is an example for tabular information.</w:t>
      </w:r>
    </w:p>
    <w:p w14:paraId="007D173E" w14:textId="77777777" w:rsidR="00781466" w:rsidRPr="00166BFE" w:rsidRDefault="00781466" w:rsidP="00291EC0">
      <w:pPr>
        <w:pStyle w:val="Formatvorlage9ptBlock"/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993"/>
        <w:gridCol w:w="988"/>
        <w:gridCol w:w="984"/>
        <w:gridCol w:w="991"/>
      </w:tblGrid>
      <w:tr w:rsidR="00D8615C" w14:paraId="02F4AED1" w14:textId="77777777" w:rsidTr="00D7033E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159F9" w14:textId="77777777" w:rsidR="00D8615C" w:rsidRDefault="00166BFE" w:rsidP="00781466">
            <w:pPr>
              <w:pStyle w:val="TableBody"/>
            </w:pPr>
            <w:r>
              <w:t>Sample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584FF" w14:textId="77777777" w:rsidR="00D8615C" w:rsidRDefault="00781466" w:rsidP="00781466">
            <w:pPr>
              <w:pStyle w:val="TableBody"/>
            </w:pPr>
            <w:r>
              <w:t>Ca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BD9EB" w14:textId="77777777" w:rsidR="00D8615C" w:rsidRDefault="00781466" w:rsidP="00781466">
            <w:pPr>
              <w:pStyle w:val="TableBody"/>
            </w:pPr>
            <w:r>
              <w:t>Sr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3D773" w14:textId="77777777" w:rsidR="00D8615C" w:rsidRDefault="00781466" w:rsidP="00781466">
            <w:pPr>
              <w:pStyle w:val="TableBody"/>
            </w:pPr>
            <w:r>
              <w:t>Ba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D30C5" w14:textId="77777777" w:rsidR="00D8615C" w:rsidRDefault="00781466" w:rsidP="00781466">
            <w:pPr>
              <w:pStyle w:val="TableBody"/>
            </w:pPr>
            <w:r>
              <w:t>Ra</w:t>
            </w:r>
          </w:p>
        </w:tc>
      </w:tr>
      <w:tr w:rsidR="00D8615C" w14:paraId="52D5C4AA" w14:textId="77777777" w:rsidTr="00D7033E"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7FE332B5" w14:textId="77777777" w:rsidR="00D8615C" w:rsidRDefault="00781466" w:rsidP="00781466">
            <w:pPr>
              <w:pStyle w:val="TableBody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4A1D3F18" w14:textId="77777777" w:rsidR="00D8615C" w:rsidRDefault="00781466" w:rsidP="00781466">
            <w:pPr>
              <w:pStyle w:val="TableBody"/>
            </w:pPr>
            <w:r>
              <w:t>2000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5F0A5781" w14:textId="77777777" w:rsidR="00D8615C" w:rsidRDefault="00781466" w:rsidP="00781466">
            <w:pPr>
              <w:pStyle w:val="TableBody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2ACBDD43" w14:textId="77777777" w:rsidR="00D8615C" w:rsidRDefault="00781466" w:rsidP="00781466">
            <w:pPr>
              <w:pStyle w:val="TableBody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69F40E4E" w14:textId="77777777" w:rsidR="00D8615C" w:rsidRDefault="00781466" w:rsidP="00781466">
            <w:pPr>
              <w:pStyle w:val="TableBody"/>
            </w:pPr>
            <w:r>
              <w:t>0,20</w:t>
            </w:r>
          </w:p>
        </w:tc>
      </w:tr>
      <w:tr w:rsidR="00D8615C" w14:paraId="0CAEC7DD" w14:textId="77777777" w:rsidTr="00D7033E">
        <w:tc>
          <w:tcPr>
            <w:tcW w:w="1020" w:type="dxa"/>
            <w:shd w:val="clear" w:color="auto" w:fill="auto"/>
          </w:tcPr>
          <w:p w14:paraId="6DE69109" w14:textId="77777777" w:rsidR="00D8615C" w:rsidRDefault="00781466" w:rsidP="00781466">
            <w:pPr>
              <w:pStyle w:val="TableBody"/>
            </w:pPr>
            <w:r>
              <w:t>2</w:t>
            </w:r>
          </w:p>
        </w:tc>
        <w:tc>
          <w:tcPr>
            <w:tcW w:w="1020" w:type="dxa"/>
            <w:shd w:val="clear" w:color="auto" w:fill="auto"/>
          </w:tcPr>
          <w:p w14:paraId="4156F9F6" w14:textId="77777777" w:rsidR="00D8615C" w:rsidRDefault="00781466" w:rsidP="00781466">
            <w:pPr>
              <w:pStyle w:val="TableBody"/>
            </w:pPr>
            <w:r>
              <w:t>2500</w:t>
            </w:r>
          </w:p>
        </w:tc>
        <w:tc>
          <w:tcPr>
            <w:tcW w:w="1020" w:type="dxa"/>
            <w:shd w:val="clear" w:color="auto" w:fill="auto"/>
          </w:tcPr>
          <w:p w14:paraId="40C0173A" w14:textId="77777777" w:rsidR="00D8615C" w:rsidRDefault="00781466" w:rsidP="00781466">
            <w:pPr>
              <w:pStyle w:val="TableBody"/>
            </w:pPr>
            <w:r>
              <w:t>250</w:t>
            </w:r>
          </w:p>
        </w:tc>
        <w:tc>
          <w:tcPr>
            <w:tcW w:w="1020" w:type="dxa"/>
            <w:shd w:val="clear" w:color="auto" w:fill="auto"/>
          </w:tcPr>
          <w:p w14:paraId="2447E324" w14:textId="77777777" w:rsidR="00D8615C" w:rsidRDefault="00781466" w:rsidP="00781466">
            <w:pPr>
              <w:pStyle w:val="TableBody"/>
            </w:pPr>
            <w:r>
              <w:t>25</w:t>
            </w:r>
          </w:p>
        </w:tc>
        <w:tc>
          <w:tcPr>
            <w:tcW w:w="1020" w:type="dxa"/>
            <w:shd w:val="clear" w:color="auto" w:fill="auto"/>
          </w:tcPr>
          <w:p w14:paraId="74E19219" w14:textId="77777777" w:rsidR="00D8615C" w:rsidRDefault="00781466" w:rsidP="00781466">
            <w:pPr>
              <w:pStyle w:val="TableBody"/>
            </w:pPr>
            <w:r>
              <w:t>0,25</w:t>
            </w:r>
          </w:p>
        </w:tc>
      </w:tr>
      <w:tr w:rsidR="00D8615C" w14:paraId="08D2BD85" w14:textId="77777777" w:rsidTr="00D7033E">
        <w:tc>
          <w:tcPr>
            <w:tcW w:w="1020" w:type="dxa"/>
            <w:shd w:val="clear" w:color="auto" w:fill="auto"/>
          </w:tcPr>
          <w:p w14:paraId="283629A6" w14:textId="77777777" w:rsidR="00D8615C" w:rsidRDefault="00781466" w:rsidP="00781466">
            <w:pPr>
              <w:pStyle w:val="TableBody"/>
            </w:pPr>
            <w:r>
              <w:t>3</w:t>
            </w:r>
          </w:p>
        </w:tc>
        <w:tc>
          <w:tcPr>
            <w:tcW w:w="1020" w:type="dxa"/>
            <w:shd w:val="clear" w:color="auto" w:fill="auto"/>
          </w:tcPr>
          <w:p w14:paraId="40E8A045" w14:textId="77777777" w:rsidR="00D8615C" w:rsidRDefault="00781466" w:rsidP="00781466">
            <w:pPr>
              <w:pStyle w:val="TableBody"/>
            </w:pPr>
            <w:r>
              <w:t>3000</w:t>
            </w:r>
          </w:p>
        </w:tc>
        <w:tc>
          <w:tcPr>
            <w:tcW w:w="1020" w:type="dxa"/>
            <w:shd w:val="clear" w:color="auto" w:fill="auto"/>
          </w:tcPr>
          <w:p w14:paraId="37593E2D" w14:textId="77777777" w:rsidR="00D8615C" w:rsidRDefault="00781466" w:rsidP="00781466">
            <w:pPr>
              <w:pStyle w:val="TableBody"/>
            </w:pPr>
            <w:r>
              <w:t>300</w:t>
            </w:r>
          </w:p>
        </w:tc>
        <w:tc>
          <w:tcPr>
            <w:tcW w:w="1020" w:type="dxa"/>
            <w:shd w:val="clear" w:color="auto" w:fill="auto"/>
          </w:tcPr>
          <w:p w14:paraId="75B30648" w14:textId="77777777" w:rsidR="00D8615C" w:rsidRDefault="00781466" w:rsidP="00781466">
            <w:pPr>
              <w:pStyle w:val="TableBody"/>
            </w:pPr>
            <w:r>
              <w:t>30</w:t>
            </w:r>
          </w:p>
        </w:tc>
        <w:tc>
          <w:tcPr>
            <w:tcW w:w="1020" w:type="dxa"/>
            <w:shd w:val="clear" w:color="auto" w:fill="auto"/>
          </w:tcPr>
          <w:p w14:paraId="7004F25D" w14:textId="77777777" w:rsidR="00D8615C" w:rsidRDefault="00781466" w:rsidP="00781466">
            <w:pPr>
              <w:pStyle w:val="TableBody"/>
            </w:pPr>
            <w:r>
              <w:t>0,30</w:t>
            </w:r>
          </w:p>
        </w:tc>
      </w:tr>
      <w:tr w:rsidR="00D8615C" w14:paraId="4B91EA2A" w14:textId="77777777" w:rsidTr="00D7033E"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17BD41CE" w14:textId="77777777" w:rsidR="00D8615C" w:rsidRDefault="00781466" w:rsidP="00781466">
            <w:pPr>
              <w:pStyle w:val="TableBody"/>
            </w:pPr>
            <w: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2922EF0" w14:textId="77777777" w:rsidR="00D8615C" w:rsidRDefault="00781466" w:rsidP="00781466">
            <w:pPr>
              <w:pStyle w:val="TableBody"/>
            </w:pPr>
            <w:r>
              <w:t>3500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D1F8261" w14:textId="77777777" w:rsidR="00D8615C" w:rsidRDefault="00781466" w:rsidP="00781466">
            <w:pPr>
              <w:pStyle w:val="TableBody"/>
            </w:pPr>
            <w:r>
              <w:t>350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4CD9B13C" w14:textId="77777777" w:rsidR="00D8615C" w:rsidRDefault="00781466" w:rsidP="00781466">
            <w:pPr>
              <w:pStyle w:val="TableBody"/>
            </w:pPr>
            <w:r>
              <w:t>35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6711726" w14:textId="77777777" w:rsidR="00D8615C" w:rsidRDefault="00781466" w:rsidP="00781466">
            <w:pPr>
              <w:pStyle w:val="TableBody"/>
            </w:pPr>
            <w:r>
              <w:t>0,35</w:t>
            </w:r>
          </w:p>
        </w:tc>
      </w:tr>
    </w:tbl>
    <w:p w14:paraId="37D13389" w14:textId="77777777" w:rsidR="00D8615C" w:rsidRPr="000644FD" w:rsidRDefault="000644FD" w:rsidP="00D8615C">
      <w:pPr>
        <w:pStyle w:val="TableCaption"/>
      </w:pPr>
      <w:r w:rsidRPr="000644FD">
        <w:rPr>
          <w:b/>
          <w:i/>
        </w:rPr>
        <w:t>Table</w:t>
      </w:r>
      <w:r w:rsidR="00D8615C" w:rsidRPr="000644FD">
        <w:rPr>
          <w:b/>
          <w:i/>
        </w:rPr>
        <w:t xml:space="preserve"> 1</w:t>
      </w:r>
      <w:r w:rsidR="00D8615C" w:rsidRPr="000644FD">
        <w:t xml:space="preserve">: </w:t>
      </w:r>
      <w:r w:rsidRPr="000644FD">
        <w:t>Essential data</w:t>
      </w:r>
      <w:r w:rsidR="00D8615C" w:rsidRPr="000644FD">
        <w:t>.</w:t>
      </w:r>
      <w:r w:rsidR="00781466" w:rsidRPr="000644FD">
        <w:t xml:space="preserve"> </w:t>
      </w:r>
      <w:r w:rsidRPr="000644FD">
        <w:t xml:space="preserve">Concentrations </w:t>
      </w:r>
      <w:r w:rsidR="00781466" w:rsidRPr="000644FD">
        <w:t>in mg/kg.</w:t>
      </w:r>
    </w:p>
    <w:p w14:paraId="6FB2E648" w14:textId="77777777" w:rsidR="000644FD" w:rsidRPr="000644FD" w:rsidRDefault="000644FD" w:rsidP="00A037F3">
      <w:pPr>
        <w:pStyle w:val="Formatvorlage9ptBlock"/>
        <w:ind w:firstLine="425"/>
        <w:rPr>
          <w:lang w:val="en-GB"/>
        </w:rPr>
      </w:pPr>
      <w:r w:rsidRPr="000644FD">
        <w:rPr>
          <w:lang w:val="en-GB"/>
        </w:rPr>
        <w:t xml:space="preserve">Figures may also be integrated </w:t>
      </w:r>
      <w:r>
        <w:rPr>
          <w:lang w:val="en-GB"/>
        </w:rPr>
        <w:t xml:space="preserve">with </w:t>
      </w:r>
      <w:r w:rsidRPr="000644FD">
        <w:rPr>
          <w:lang w:val="en-GB"/>
        </w:rPr>
        <w:t xml:space="preserve">the text (see Fig. </w:t>
      </w:r>
      <w:r>
        <w:rPr>
          <w:lang w:val="en-GB"/>
        </w:rPr>
        <w:t>1).</w:t>
      </w:r>
    </w:p>
    <w:p w14:paraId="3D395E5A" w14:textId="77777777" w:rsidR="00DE4205" w:rsidRPr="000644FD" w:rsidRDefault="000644FD" w:rsidP="000644FD">
      <w:pPr>
        <w:pStyle w:val="Formatvorlage9ptBlock"/>
        <w:rPr>
          <w:lang w:val="en-GB"/>
        </w:rPr>
      </w:pPr>
      <w:r w:rsidRPr="000644FD">
        <w:rPr>
          <w:lang w:val="en-GB"/>
        </w:rPr>
        <w:t xml:space="preserve">Concerning colour print, the book of abstracts will be </w:t>
      </w:r>
      <w:r>
        <w:rPr>
          <w:lang w:val="en-GB"/>
        </w:rPr>
        <w:t xml:space="preserve">provided as a download in colour from our </w:t>
      </w:r>
      <w:r w:rsidRPr="000644FD">
        <w:rPr>
          <w:lang w:val="en-GB"/>
        </w:rPr>
        <w:t xml:space="preserve">conference web page </w:t>
      </w:r>
      <w:r>
        <w:rPr>
          <w:lang w:val="en-GB"/>
        </w:rPr>
        <w:t>[1]. However, it will be printed in black and white.</w:t>
      </w:r>
    </w:p>
    <w:p w14:paraId="5CE588D2" w14:textId="77777777" w:rsidR="006A05FF" w:rsidRPr="000644FD" w:rsidRDefault="006A05FF">
      <w:pPr>
        <w:ind w:firstLine="425"/>
        <w:jc w:val="both"/>
        <w:rPr>
          <w:sz w:val="18"/>
          <w:szCs w:val="18"/>
          <w:lang w:val="en-GB"/>
        </w:rPr>
      </w:pPr>
    </w:p>
    <w:p w14:paraId="6CBED03B" w14:textId="297FC916" w:rsidR="00781466" w:rsidRPr="00781466" w:rsidRDefault="00B86273" w:rsidP="006A05FF">
      <w:pPr>
        <w:jc w:val="center"/>
        <w:rPr>
          <w:sz w:val="18"/>
          <w:szCs w:val="18"/>
        </w:rPr>
      </w:pPr>
      <w:r w:rsidRPr="00DB46A7">
        <w:rPr>
          <w:noProof/>
          <w:sz w:val="18"/>
          <w:szCs w:val="18"/>
        </w:rPr>
        <w:drawing>
          <wp:inline distT="0" distB="0" distL="0" distR="0" wp14:anchorId="44E9B54B" wp14:editId="414259E7">
            <wp:extent cx="914400" cy="1219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4F82" w14:textId="77777777" w:rsidR="006A05FF" w:rsidRPr="000644FD" w:rsidRDefault="000644FD" w:rsidP="006A05FF">
      <w:pPr>
        <w:pStyle w:val="FigureCaption"/>
        <w:rPr>
          <w:szCs w:val="18"/>
          <w:lang w:val="en-GB"/>
        </w:rPr>
      </w:pPr>
      <w:r w:rsidRPr="000644FD">
        <w:rPr>
          <w:b/>
          <w:i/>
          <w:szCs w:val="18"/>
          <w:lang w:val="en-GB"/>
        </w:rPr>
        <w:t>Figure</w:t>
      </w:r>
      <w:r w:rsidR="006A05FF" w:rsidRPr="000644FD">
        <w:rPr>
          <w:b/>
          <w:i/>
          <w:szCs w:val="18"/>
          <w:lang w:val="en-GB"/>
        </w:rPr>
        <w:t xml:space="preserve"> 1</w:t>
      </w:r>
      <w:r w:rsidR="006A05FF" w:rsidRPr="000644FD">
        <w:rPr>
          <w:szCs w:val="18"/>
          <w:lang w:val="en-GB"/>
        </w:rPr>
        <w:t xml:space="preserve">: </w:t>
      </w:r>
      <w:r w:rsidRPr="000644FD">
        <w:rPr>
          <w:szCs w:val="18"/>
          <w:lang w:val="en-GB"/>
        </w:rPr>
        <w:t>An example of a figure.</w:t>
      </w:r>
    </w:p>
    <w:p w14:paraId="1DC2139B" w14:textId="77777777" w:rsidR="006A05FF" w:rsidRPr="000644FD" w:rsidRDefault="000644FD" w:rsidP="006A05FF">
      <w:pPr>
        <w:pStyle w:val="Subsection"/>
        <w:rPr>
          <w:lang w:val="en-GB"/>
        </w:rPr>
      </w:pPr>
      <w:r w:rsidRPr="000644FD">
        <w:rPr>
          <w:lang w:val="en-GB"/>
        </w:rPr>
        <w:t>How to cite</w:t>
      </w:r>
    </w:p>
    <w:p w14:paraId="3976F202" w14:textId="77777777" w:rsidR="006A05FF" w:rsidRPr="000644FD" w:rsidRDefault="000644FD" w:rsidP="00291EC0">
      <w:pPr>
        <w:pStyle w:val="Formatvorlage9ptBlock"/>
        <w:rPr>
          <w:lang w:val="en-GB"/>
        </w:rPr>
      </w:pPr>
      <w:r w:rsidRPr="000644FD">
        <w:rPr>
          <w:lang w:val="en-GB"/>
        </w:rPr>
        <w:t xml:space="preserve">To keep the appearance of the abstracts consistent, </w:t>
      </w:r>
      <w:r>
        <w:rPr>
          <w:lang w:val="en-GB"/>
        </w:rPr>
        <w:t xml:space="preserve">we ask you to follow the examples below. Within the text, citations should look like this </w:t>
      </w:r>
      <w:r w:rsidR="006A05FF" w:rsidRPr="000644FD">
        <w:rPr>
          <w:lang w:val="en-GB"/>
        </w:rPr>
        <w:t xml:space="preserve">[2], </w:t>
      </w:r>
      <w:r>
        <w:rPr>
          <w:lang w:val="en-GB"/>
        </w:rPr>
        <w:t xml:space="preserve">or this </w:t>
      </w:r>
      <w:r w:rsidR="006A05FF" w:rsidRPr="000644FD">
        <w:rPr>
          <w:lang w:val="en-GB"/>
        </w:rPr>
        <w:t xml:space="preserve">[2, 3], </w:t>
      </w:r>
      <w:r>
        <w:rPr>
          <w:lang w:val="en-GB"/>
        </w:rPr>
        <w:t xml:space="preserve">or this </w:t>
      </w:r>
      <w:r w:rsidR="006A05FF" w:rsidRPr="000644FD">
        <w:rPr>
          <w:lang w:val="en-GB"/>
        </w:rPr>
        <w:t>[2-4]</w:t>
      </w:r>
      <w:r>
        <w:rPr>
          <w:lang w:val="en-GB"/>
        </w:rPr>
        <w:t>,</w:t>
      </w:r>
      <w:r w:rsidR="00A726B8" w:rsidRPr="000644FD">
        <w:rPr>
          <w:lang w:val="en-GB"/>
        </w:rPr>
        <w:t xml:space="preserve"> </w:t>
      </w:r>
      <w:r>
        <w:rPr>
          <w:lang w:val="en-GB"/>
        </w:rPr>
        <w:t>or this</w:t>
      </w:r>
      <w:r w:rsidR="001945F8">
        <w:rPr>
          <w:lang w:val="en-GB"/>
        </w:rPr>
        <w:t xml:space="preserve"> [3, 5-8</w:t>
      </w:r>
      <w:r w:rsidR="00A726B8" w:rsidRPr="000644FD">
        <w:rPr>
          <w:lang w:val="en-GB"/>
        </w:rPr>
        <w:t>]</w:t>
      </w:r>
      <w:r w:rsidR="006A05FF" w:rsidRPr="000644FD">
        <w:rPr>
          <w:lang w:val="en-GB"/>
        </w:rPr>
        <w:t xml:space="preserve">. </w:t>
      </w:r>
      <w:r w:rsidRPr="000644FD">
        <w:rPr>
          <w:lang w:val="en-GB"/>
        </w:rPr>
        <w:t xml:space="preserve">For references that are </w:t>
      </w:r>
      <w:r w:rsidR="006A05FF" w:rsidRPr="000644FD">
        <w:rPr>
          <w:lang w:val="en-GB"/>
        </w:rPr>
        <w:t>„in press“</w:t>
      </w:r>
      <w:r w:rsidR="00A80613">
        <w:rPr>
          <w:lang w:val="en-GB"/>
        </w:rPr>
        <w:t>,</w:t>
      </w:r>
      <w:r w:rsidR="006A05FF" w:rsidRPr="000644FD">
        <w:rPr>
          <w:lang w:val="en-GB"/>
        </w:rPr>
        <w:t xml:space="preserve"> </w:t>
      </w:r>
      <w:r>
        <w:rPr>
          <w:lang w:val="en-GB"/>
        </w:rPr>
        <w:t xml:space="preserve">please cite the </w:t>
      </w:r>
      <w:r w:rsidRPr="000644FD">
        <w:rPr>
          <w:lang w:val="en-GB"/>
        </w:rPr>
        <w:t xml:space="preserve">article’s title </w:t>
      </w:r>
      <w:r>
        <w:rPr>
          <w:lang w:val="en-GB"/>
        </w:rPr>
        <w:t xml:space="preserve">as well </w:t>
      </w:r>
      <w:r w:rsidR="006A05FF" w:rsidRPr="000644FD">
        <w:rPr>
          <w:lang w:val="en-GB"/>
        </w:rPr>
        <w:t>[3].</w:t>
      </w:r>
    </w:p>
    <w:p w14:paraId="232F0242" w14:textId="77777777" w:rsidR="006A05FF" w:rsidRPr="000644FD" w:rsidRDefault="006A05FF">
      <w:pPr>
        <w:ind w:firstLine="425"/>
        <w:jc w:val="both"/>
        <w:rPr>
          <w:sz w:val="18"/>
          <w:szCs w:val="18"/>
          <w:lang w:val="en-GB"/>
        </w:rPr>
      </w:pPr>
    </w:p>
    <w:p w14:paraId="5D76550C" w14:textId="77777777" w:rsidR="00DE4205" w:rsidRDefault="00DE4205">
      <w:pPr>
        <w:pStyle w:val="References"/>
        <w:pBdr>
          <w:top w:val="single" w:sz="12" w:space="1" w:color="999999"/>
        </w:pBd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hyperlink r:id="rId9" w:history="1">
        <w:r w:rsidR="006A05FF" w:rsidRPr="0001173A">
          <w:rPr>
            <w:rStyle w:val="Hyperlink"/>
            <w:lang w:val="en-US"/>
          </w:rPr>
          <w:t>http://www.ati.ac.at/saagas22</w:t>
        </w:r>
      </w:hyperlink>
      <w:r w:rsidR="006A05FF">
        <w:rPr>
          <w:lang w:val="en-US"/>
        </w:rPr>
        <w:t xml:space="preserve"> (</w:t>
      </w:r>
      <w:r w:rsidR="000644FD">
        <w:rPr>
          <w:lang w:val="en-US"/>
        </w:rPr>
        <w:t>March</w:t>
      </w:r>
      <w:r w:rsidR="006A05FF">
        <w:rPr>
          <w:lang w:val="en-US"/>
        </w:rPr>
        <w:t xml:space="preserve"> </w:t>
      </w:r>
      <w:r w:rsidR="006A05FF" w:rsidRPr="00A037F3">
        <w:rPr>
          <w:b/>
          <w:lang w:val="en-US"/>
        </w:rPr>
        <w:t>2008</w:t>
      </w:r>
      <w:r w:rsidR="006A05FF">
        <w:rPr>
          <w:lang w:val="en-US"/>
        </w:rPr>
        <w:t>)</w:t>
      </w:r>
    </w:p>
    <w:p w14:paraId="1FA99A9B" w14:textId="77777777" w:rsidR="00DE4205" w:rsidRPr="006A05FF" w:rsidRDefault="00DE4205">
      <w:pPr>
        <w:pStyle w:val="References"/>
        <w:pBdr>
          <w:top w:val="single" w:sz="12" w:space="1" w:color="999999"/>
        </w:pBdr>
        <w:rPr>
          <w:szCs w:val="18"/>
        </w:rPr>
      </w:pPr>
      <w:r w:rsidRPr="006A05FF">
        <w:rPr>
          <w:szCs w:val="18"/>
          <w:lang w:val="de-DE"/>
        </w:rPr>
        <w:t>[2]</w:t>
      </w:r>
      <w:r w:rsidRPr="006A05FF">
        <w:rPr>
          <w:szCs w:val="18"/>
          <w:lang w:val="de-DE"/>
        </w:rPr>
        <w:tab/>
      </w:r>
      <w:r w:rsidR="006A05FF" w:rsidRPr="006A05FF">
        <w:rPr>
          <w:szCs w:val="18"/>
          <w:lang w:val="de-DE"/>
        </w:rPr>
        <w:t>H. Mark</w:t>
      </w:r>
      <w:r w:rsidR="00C03643">
        <w:rPr>
          <w:szCs w:val="18"/>
          <w:lang w:val="de-DE"/>
        </w:rPr>
        <w:t>s</w:t>
      </w:r>
      <w:r w:rsidR="006A05FF" w:rsidRPr="006A05FF">
        <w:rPr>
          <w:szCs w:val="18"/>
          <w:lang w:val="de-DE"/>
        </w:rPr>
        <w:t xml:space="preserve">bichler, R. Madlehner, </w:t>
      </w:r>
      <w:r w:rsidR="006A05FF" w:rsidRPr="000363B2">
        <w:rPr>
          <w:i/>
          <w:szCs w:val="18"/>
          <w:lang w:val="de-DE"/>
        </w:rPr>
        <w:t xml:space="preserve">J. Radioanal. </w:t>
      </w:r>
      <w:r w:rsidR="006A05FF" w:rsidRPr="000363B2">
        <w:rPr>
          <w:i/>
          <w:szCs w:val="18"/>
        </w:rPr>
        <w:t>Nucl. Chem.</w:t>
      </w:r>
      <w:r w:rsidR="006A05FF" w:rsidRPr="006A05FF">
        <w:rPr>
          <w:szCs w:val="18"/>
        </w:rPr>
        <w:t xml:space="preserve"> </w:t>
      </w:r>
      <w:r w:rsidR="006A05FF" w:rsidRPr="006A05FF">
        <w:rPr>
          <w:b/>
          <w:szCs w:val="18"/>
        </w:rPr>
        <w:t>2006</w:t>
      </w:r>
      <w:r w:rsidR="006A05FF" w:rsidRPr="006A05FF">
        <w:rPr>
          <w:szCs w:val="18"/>
        </w:rPr>
        <w:t xml:space="preserve">, </w:t>
      </w:r>
      <w:r w:rsidR="006A05FF" w:rsidRPr="006A05FF">
        <w:rPr>
          <w:i/>
          <w:szCs w:val="18"/>
        </w:rPr>
        <w:t>488</w:t>
      </w:r>
      <w:r w:rsidR="006A05FF" w:rsidRPr="006A05FF">
        <w:rPr>
          <w:szCs w:val="18"/>
        </w:rPr>
        <w:t>, 13-22.</w:t>
      </w:r>
    </w:p>
    <w:p w14:paraId="489CFFB4" w14:textId="77777777" w:rsidR="006A05FF" w:rsidRPr="006A05FF" w:rsidRDefault="00DE4205">
      <w:pPr>
        <w:pStyle w:val="References"/>
        <w:pBdr>
          <w:top w:val="single" w:sz="12" w:space="1" w:color="999999"/>
        </w:pBdr>
        <w:rPr>
          <w:szCs w:val="18"/>
        </w:rPr>
      </w:pPr>
      <w:r w:rsidRPr="00A037F3">
        <w:rPr>
          <w:szCs w:val="18"/>
        </w:rPr>
        <w:t>[3]</w:t>
      </w:r>
      <w:r w:rsidRPr="00A037F3">
        <w:rPr>
          <w:szCs w:val="18"/>
        </w:rPr>
        <w:tab/>
      </w:r>
      <w:r w:rsidR="006A05FF" w:rsidRPr="00A037F3">
        <w:rPr>
          <w:szCs w:val="18"/>
        </w:rPr>
        <w:t xml:space="preserve">K. Ostborn, F. Verzetnik, </w:t>
      </w:r>
      <w:r w:rsidR="00A037F3" w:rsidRPr="000363B2">
        <w:rPr>
          <w:szCs w:val="18"/>
        </w:rPr>
        <w:t>New trends in activation analysis</w:t>
      </w:r>
      <w:r w:rsidR="00A037F3">
        <w:rPr>
          <w:szCs w:val="18"/>
        </w:rPr>
        <w:t>,</w:t>
      </w:r>
      <w:r w:rsidR="00A037F3" w:rsidRPr="00A037F3">
        <w:rPr>
          <w:i/>
          <w:szCs w:val="18"/>
        </w:rPr>
        <w:t xml:space="preserve"> </w:t>
      </w:r>
      <w:r w:rsidR="006A05FF" w:rsidRPr="00A037F3">
        <w:rPr>
          <w:i/>
          <w:szCs w:val="18"/>
        </w:rPr>
        <w:t xml:space="preserve">Appl. </w:t>
      </w:r>
      <w:r w:rsidR="006A05FF" w:rsidRPr="000363B2">
        <w:rPr>
          <w:i/>
          <w:szCs w:val="18"/>
        </w:rPr>
        <w:t>Radiat. Isot.</w:t>
      </w:r>
      <w:r w:rsidR="006A05FF">
        <w:rPr>
          <w:szCs w:val="18"/>
        </w:rPr>
        <w:t>,</w:t>
      </w:r>
      <w:r w:rsidR="006A05FF" w:rsidRPr="006A05FF">
        <w:rPr>
          <w:szCs w:val="18"/>
        </w:rPr>
        <w:t xml:space="preserve"> </w:t>
      </w:r>
      <w:r w:rsidR="006A05FF" w:rsidRPr="006A05FF">
        <w:rPr>
          <w:b/>
          <w:szCs w:val="18"/>
        </w:rPr>
        <w:t>2008</w:t>
      </w:r>
      <w:r w:rsidR="006A05FF">
        <w:rPr>
          <w:szCs w:val="18"/>
        </w:rPr>
        <w:t>, in press.</w:t>
      </w:r>
    </w:p>
    <w:p w14:paraId="4A0A7C99" w14:textId="77777777" w:rsidR="00DE4205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[4]</w:t>
      </w:r>
      <w:r>
        <w:rPr>
          <w:szCs w:val="18"/>
          <w:lang w:val="en-US"/>
        </w:rPr>
        <w:tab/>
      </w:r>
      <w:r w:rsidR="006A05FF">
        <w:rPr>
          <w:szCs w:val="18"/>
          <w:lang w:val="en-US"/>
        </w:rPr>
        <w:t>T</w:t>
      </w:r>
      <w:r w:rsidR="000363B2">
        <w:rPr>
          <w:szCs w:val="18"/>
          <w:lang w:val="en-US"/>
        </w:rPr>
        <w:t>.</w:t>
      </w:r>
      <w:r w:rsidR="006A05FF">
        <w:rPr>
          <w:szCs w:val="18"/>
          <w:lang w:val="en-US"/>
        </w:rPr>
        <w:t xml:space="preserve">F. McQueen, Dissertation, </w:t>
      </w:r>
      <w:smartTag w:uri="urn:schemas-microsoft-com:office:smarttags" w:element="place">
        <w:smartTag w:uri="urn:schemas-microsoft-com:office:smarttags" w:element="PlaceName">
          <w:r w:rsidR="006A05FF">
            <w:rPr>
              <w:szCs w:val="18"/>
              <w:lang w:val="en-US"/>
            </w:rPr>
            <w:t>Dalhousie</w:t>
          </w:r>
        </w:smartTag>
        <w:r w:rsidR="006A05FF">
          <w:rPr>
            <w:szCs w:val="18"/>
            <w:lang w:val="en-US"/>
          </w:rPr>
          <w:t xml:space="preserve"> </w:t>
        </w:r>
        <w:smartTag w:uri="urn:schemas-microsoft-com:office:smarttags" w:element="PlaceType">
          <w:r w:rsidR="006A05FF">
            <w:rPr>
              <w:szCs w:val="18"/>
              <w:lang w:val="en-US"/>
            </w:rPr>
            <w:t>University</w:t>
          </w:r>
        </w:smartTag>
      </w:smartTag>
      <w:r w:rsidR="000363B2">
        <w:rPr>
          <w:szCs w:val="18"/>
          <w:lang w:val="en-US"/>
        </w:rPr>
        <w:t xml:space="preserve">, </w:t>
      </w:r>
      <w:r w:rsidR="000363B2" w:rsidRPr="000363B2">
        <w:rPr>
          <w:b/>
          <w:szCs w:val="18"/>
          <w:lang w:val="en-US"/>
        </w:rPr>
        <w:t>2005</w:t>
      </w:r>
      <w:r w:rsidR="006A05FF">
        <w:rPr>
          <w:szCs w:val="18"/>
          <w:lang w:val="en-US"/>
        </w:rPr>
        <w:t xml:space="preserve">. </w:t>
      </w:r>
    </w:p>
    <w:p w14:paraId="0F5ADC1E" w14:textId="77777777" w:rsidR="00DE4205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[5]</w:t>
      </w:r>
      <w:r>
        <w:rPr>
          <w:szCs w:val="18"/>
          <w:lang w:val="en-US"/>
        </w:rPr>
        <w:tab/>
      </w:r>
      <w:r w:rsidR="00A726B8">
        <w:rPr>
          <w:szCs w:val="18"/>
          <w:lang w:val="en-US"/>
        </w:rPr>
        <w:t xml:space="preserve"> K.C. Williams, M. McKinley, </w:t>
      </w:r>
      <w:r w:rsidR="00A726B8" w:rsidRPr="00A726B8">
        <w:rPr>
          <w:i/>
          <w:szCs w:val="18"/>
          <w:lang w:val="en-US"/>
        </w:rPr>
        <w:t>A typical book title</w:t>
      </w:r>
      <w:r w:rsidR="00A726B8">
        <w:rPr>
          <w:szCs w:val="18"/>
          <w:lang w:val="en-US"/>
        </w:rPr>
        <w:t xml:space="preserve">, VCH, Weinheim, </w:t>
      </w:r>
      <w:r w:rsidR="00A726B8" w:rsidRPr="00A726B8">
        <w:rPr>
          <w:b/>
          <w:szCs w:val="18"/>
          <w:lang w:val="en-US"/>
        </w:rPr>
        <w:t>1998</w:t>
      </w:r>
      <w:r w:rsidR="00A726B8">
        <w:rPr>
          <w:szCs w:val="18"/>
          <w:lang w:val="en-US"/>
        </w:rPr>
        <w:t>, pp. 215-218.</w:t>
      </w:r>
    </w:p>
    <w:p w14:paraId="2BBB18E8" w14:textId="77777777" w:rsidR="00A726B8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[6]</w:t>
      </w:r>
      <w:r>
        <w:rPr>
          <w:szCs w:val="18"/>
          <w:lang w:val="en-US"/>
        </w:rPr>
        <w:tab/>
        <w:t xml:space="preserve">A. Hammerl, </w:t>
      </w:r>
      <w:r w:rsidR="00A726B8">
        <w:rPr>
          <w:szCs w:val="18"/>
          <w:lang w:val="en-US"/>
        </w:rPr>
        <w:t xml:space="preserve">G. Gans, </w:t>
      </w:r>
      <w:r w:rsidR="00A726B8" w:rsidRPr="00A726B8">
        <w:rPr>
          <w:i/>
          <w:szCs w:val="18"/>
          <w:lang w:val="en-US"/>
        </w:rPr>
        <w:t>A reference to a book with editors</w:t>
      </w:r>
      <w:r w:rsidR="00A726B8">
        <w:rPr>
          <w:szCs w:val="18"/>
          <w:lang w:val="en-US"/>
        </w:rPr>
        <w:t xml:space="preserve">, in: K.M. Weiler (Ed.), </w:t>
      </w:r>
      <w:r w:rsidR="00A726B8" w:rsidRPr="00A726B8">
        <w:rPr>
          <w:i/>
          <w:szCs w:val="18"/>
          <w:lang w:val="en-US"/>
        </w:rPr>
        <w:t>Nuclear Energy</w:t>
      </w:r>
      <w:r w:rsidR="00A726B8">
        <w:rPr>
          <w:szCs w:val="18"/>
          <w:lang w:val="en-US"/>
        </w:rPr>
        <w:t xml:space="preserve">, Springer, Wien, </w:t>
      </w:r>
      <w:r w:rsidR="00A726B8" w:rsidRPr="00A726B8">
        <w:rPr>
          <w:b/>
          <w:szCs w:val="18"/>
          <w:lang w:val="en-US"/>
        </w:rPr>
        <w:t>2006</w:t>
      </w:r>
      <w:r w:rsidR="00A726B8">
        <w:rPr>
          <w:szCs w:val="18"/>
          <w:lang w:val="en-US"/>
        </w:rPr>
        <w:t>, 15-34.</w:t>
      </w:r>
    </w:p>
    <w:p w14:paraId="43B743FD" w14:textId="77777777" w:rsidR="00DE4205" w:rsidRDefault="00DE4205">
      <w:pPr>
        <w:pStyle w:val="References"/>
        <w:pBdr>
          <w:top w:val="single" w:sz="12" w:space="1" w:color="999999"/>
        </w:pBdr>
        <w:rPr>
          <w:bCs/>
        </w:rPr>
      </w:pPr>
      <w:r w:rsidRPr="007765F3">
        <w:rPr>
          <w:szCs w:val="18"/>
        </w:rPr>
        <w:t>[7]</w:t>
      </w:r>
      <w:r w:rsidRPr="007765F3">
        <w:rPr>
          <w:szCs w:val="18"/>
        </w:rPr>
        <w:tab/>
      </w:r>
      <w:r w:rsidR="00A726B8" w:rsidRPr="007765F3">
        <w:t xml:space="preserve">C.R. Botta (Patent AG), DE 2235093, </w:t>
      </w:r>
      <w:r w:rsidR="00A726B8" w:rsidRPr="007765F3">
        <w:rPr>
          <w:b/>
          <w:bCs/>
        </w:rPr>
        <w:t>1973</w:t>
      </w:r>
      <w:r w:rsidR="00A726B8" w:rsidRPr="007765F3">
        <w:rPr>
          <w:bCs/>
        </w:rPr>
        <w:t>.</w:t>
      </w:r>
    </w:p>
    <w:p w14:paraId="68B8143A" w14:textId="77777777" w:rsidR="00DE4205" w:rsidRPr="00291EC0" w:rsidRDefault="007765F3" w:rsidP="007765F3">
      <w:pPr>
        <w:pStyle w:val="References"/>
        <w:pBdr>
          <w:top w:val="single" w:sz="12" w:space="1" w:color="999999"/>
        </w:pBdr>
        <w:rPr>
          <w:szCs w:val="16"/>
          <w:lang w:val="de-DE"/>
        </w:rPr>
      </w:pPr>
      <w:r w:rsidRPr="00291EC0">
        <w:rPr>
          <w:bCs/>
          <w:lang w:val="de-DE"/>
        </w:rPr>
        <w:t>[8]</w:t>
      </w:r>
      <w:r w:rsidR="00DE4205" w:rsidRPr="00291EC0">
        <w:rPr>
          <w:lang w:val="de-DE"/>
        </w:rPr>
        <w:tab/>
        <w:t xml:space="preserve">F. Wirth, </w:t>
      </w:r>
      <w:r w:rsidR="00DE4205" w:rsidRPr="00291EC0">
        <w:rPr>
          <w:i/>
          <w:lang w:val="de-DE"/>
        </w:rPr>
        <w:t>Seltene Erden</w:t>
      </w:r>
      <w:r w:rsidR="00DE4205" w:rsidRPr="00291EC0">
        <w:rPr>
          <w:lang w:val="de-DE"/>
        </w:rPr>
        <w:t xml:space="preserve">, in: Ullmanns Enzyklopädie der technischen Chemie, 3rd ed., Urban &amp; Schwarzenberg, Berlin/Wien, </w:t>
      </w:r>
      <w:r w:rsidR="00DE4205" w:rsidRPr="00291EC0">
        <w:rPr>
          <w:b/>
          <w:lang w:val="de-DE"/>
        </w:rPr>
        <w:t>1929</w:t>
      </w:r>
      <w:r w:rsidR="00DE4205" w:rsidRPr="00291EC0">
        <w:rPr>
          <w:lang w:val="de-DE"/>
        </w:rPr>
        <w:t>.</w:t>
      </w:r>
    </w:p>
    <w:p w14:paraId="78ECF4AC" w14:textId="77777777" w:rsidR="00DE4205" w:rsidRPr="00291EC0" w:rsidRDefault="00DE4205">
      <w:pPr>
        <w:pStyle w:val="References"/>
        <w:pBdr>
          <w:top w:val="single" w:sz="12" w:space="1" w:color="999999"/>
        </w:pBdr>
        <w:rPr>
          <w:lang w:val="de-DE"/>
        </w:rPr>
      </w:pPr>
    </w:p>
    <w:sectPr w:rsidR="00DE4205" w:rsidRPr="00291EC0" w:rsidSect="007765F3">
      <w:headerReference w:type="even" r:id="rId10"/>
      <w:type w:val="continuous"/>
      <w:pgSz w:w="11906" w:h="16838" w:code="9"/>
      <w:pgMar w:top="1134" w:right="851" w:bottom="1225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C5FE" w14:textId="77777777" w:rsidR="007B469B" w:rsidRDefault="007B469B">
      <w:r>
        <w:separator/>
      </w:r>
    </w:p>
  </w:endnote>
  <w:endnote w:type="continuationSeparator" w:id="0">
    <w:p w14:paraId="2AE205CF" w14:textId="77777777" w:rsidR="007B469B" w:rsidRDefault="007B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0DBF" w14:textId="77777777" w:rsidR="00100D50" w:rsidRDefault="00100D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04F03155" w14:textId="77777777" w:rsidR="00100D50" w:rsidRDefault="00100D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D7B9" w14:textId="77777777" w:rsidR="00100D50" w:rsidRDefault="00100D5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3E69" w14:textId="77777777" w:rsidR="007B469B" w:rsidRDefault="007B469B">
      <w:r>
        <w:separator/>
      </w:r>
    </w:p>
    <w:p w14:paraId="05DF3BFB" w14:textId="77777777" w:rsidR="007B469B" w:rsidRDefault="007B469B"/>
  </w:footnote>
  <w:footnote w:type="continuationSeparator" w:id="0">
    <w:p w14:paraId="6621310B" w14:textId="77777777" w:rsidR="007B469B" w:rsidRDefault="007B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8D9F" w14:textId="77777777" w:rsidR="00100D50" w:rsidRDefault="00100D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25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3"/>
    <w:rsid w:val="000363B2"/>
    <w:rsid w:val="000644FD"/>
    <w:rsid w:val="00100D50"/>
    <w:rsid w:val="00166BFE"/>
    <w:rsid w:val="001945F8"/>
    <w:rsid w:val="001E6495"/>
    <w:rsid w:val="00291EC0"/>
    <w:rsid w:val="002A3FF3"/>
    <w:rsid w:val="002E3AB5"/>
    <w:rsid w:val="003558E5"/>
    <w:rsid w:val="00372CF1"/>
    <w:rsid w:val="003E1C65"/>
    <w:rsid w:val="00495611"/>
    <w:rsid w:val="004C3266"/>
    <w:rsid w:val="004D5C14"/>
    <w:rsid w:val="004D7C13"/>
    <w:rsid w:val="004F3CBF"/>
    <w:rsid w:val="00530A59"/>
    <w:rsid w:val="005967CF"/>
    <w:rsid w:val="005B4BFD"/>
    <w:rsid w:val="00647CC9"/>
    <w:rsid w:val="006A05FF"/>
    <w:rsid w:val="006D55DE"/>
    <w:rsid w:val="007765F3"/>
    <w:rsid w:val="00781466"/>
    <w:rsid w:val="007B469B"/>
    <w:rsid w:val="007D6F0B"/>
    <w:rsid w:val="00857BCE"/>
    <w:rsid w:val="00893AF2"/>
    <w:rsid w:val="009D4EB0"/>
    <w:rsid w:val="00A037F3"/>
    <w:rsid w:val="00A54090"/>
    <w:rsid w:val="00A726B8"/>
    <w:rsid w:val="00A80613"/>
    <w:rsid w:val="00AC6621"/>
    <w:rsid w:val="00B5198E"/>
    <w:rsid w:val="00B86273"/>
    <w:rsid w:val="00BD5769"/>
    <w:rsid w:val="00C03643"/>
    <w:rsid w:val="00C702A6"/>
    <w:rsid w:val="00C83DA5"/>
    <w:rsid w:val="00CA5128"/>
    <w:rsid w:val="00CE20CA"/>
    <w:rsid w:val="00CF3996"/>
    <w:rsid w:val="00D07D72"/>
    <w:rsid w:val="00D162F3"/>
    <w:rsid w:val="00D35F28"/>
    <w:rsid w:val="00D7033E"/>
    <w:rsid w:val="00D8615C"/>
    <w:rsid w:val="00DC3929"/>
    <w:rsid w:val="00DC59BD"/>
    <w:rsid w:val="00DE4205"/>
    <w:rsid w:val="00E560F3"/>
    <w:rsid w:val="00ED358A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B4A8555"/>
  <w15:chartTrackingRefBased/>
  <w15:docId w15:val="{86C82FA2-E592-4141-A123-F4CE82C6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Cs w:val="24"/>
      <w:lang w:val="de-DE"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le">
    <w:name w:val="Title"/>
    <w:basedOn w:val="Standard"/>
    <w:next w:val="Standard"/>
    <w:pPr>
      <w:spacing w:before="240" w:after="240" w:line="230" w:lineRule="exact"/>
    </w:pPr>
    <w:rPr>
      <w:b/>
      <w:sz w:val="32"/>
    </w:rPr>
  </w:style>
  <w:style w:type="paragraph" w:customStyle="1" w:styleId="Authors">
    <w:name w:val="Authors"/>
    <w:basedOn w:val="Standard"/>
    <w:pPr>
      <w:spacing w:after="360" w:line="230" w:lineRule="exact"/>
    </w:pPr>
    <w:rPr>
      <w:i/>
      <w:sz w:val="25"/>
    </w:rPr>
  </w:style>
  <w:style w:type="paragraph" w:customStyle="1" w:styleId="Dedication">
    <w:name w:val="Dedication"/>
    <w:basedOn w:val="Standard"/>
    <w:pPr>
      <w:spacing w:before="230" w:after="240" w:line="230" w:lineRule="exact"/>
      <w:contextualSpacing/>
    </w:pPr>
    <w:rPr>
      <w:i/>
      <w:sz w:val="18"/>
    </w:rPr>
  </w:style>
  <w:style w:type="paragraph" w:customStyle="1" w:styleId="P1withoutIndendation">
    <w:name w:val="P1_without_Indendation"/>
    <w:basedOn w:val="Standard"/>
    <w:pPr>
      <w:spacing w:line="230" w:lineRule="exact"/>
      <w:jc w:val="both"/>
    </w:pPr>
    <w:rPr>
      <w:sz w:val="18"/>
    </w:rPr>
  </w:style>
  <w:style w:type="paragraph" w:customStyle="1" w:styleId="History">
    <w:name w:val="History"/>
    <w:basedOn w:val="Standard"/>
    <w:pPr>
      <w:spacing w:before="280" w:after="280" w:line="200" w:lineRule="exact"/>
    </w:pPr>
    <w:rPr>
      <w:rFonts w:ascii="Arial" w:hAnsi="Arial"/>
      <w:sz w:val="16"/>
    </w:rPr>
  </w:style>
  <w:style w:type="paragraph" w:customStyle="1" w:styleId="Adress">
    <w:name w:val="Adress"/>
    <w:basedOn w:val="Standard"/>
    <w:pPr>
      <w:spacing w:before="230" w:line="200" w:lineRule="exact"/>
      <w:ind w:left="425" w:hanging="425"/>
    </w:pPr>
    <w:rPr>
      <w:rFonts w:ascii="Arial" w:hAnsi="Arial"/>
      <w:sz w:val="16"/>
      <w:szCs w:val="20"/>
    </w:rPr>
  </w:style>
  <w:style w:type="paragraph" w:customStyle="1" w:styleId="Footnote">
    <w:name w:val="Footnote"/>
    <w:basedOn w:val="Adress"/>
    <w:pPr>
      <w:spacing w:before="120"/>
    </w:pPr>
  </w:style>
  <w:style w:type="paragraph" w:customStyle="1" w:styleId="References">
    <w:name w:val="References"/>
    <w:basedOn w:val="Standard"/>
    <w:pPr>
      <w:spacing w:line="200" w:lineRule="exact"/>
      <w:ind w:left="425" w:hanging="425"/>
    </w:pPr>
    <w:rPr>
      <w:sz w:val="16"/>
      <w:lang w:val="en-GB"/>
    </w:rPr>
  </w:style>
  <w:style w:type="paragraph" w:customStyle="1" w:styleId="SubjectHeading">
    <w:name w:val="SubjectHeading"/>
    <w:basedOn w:val="Standard"/>
    <w:pPr>
      <w:spacing w:before="60" w:after="60" w:line="230" w:lineRule="exact"/>
    </w:pPr>
    <w:rPr>
      <w:rFonts w:ascii="Arial" w:hAnsi="Arial"/>
      <w:b/>
      <w:i/>
      <w:color w:val="FFFFFF"/>
      <w:sz w:val="21"/>
      <w:szCs w:val="18"/>
    </w:rPr>
  </w:style>
  <w:style w:type="paragraph" w:customStyle="1" w:styleId="ExperimentalSection">
    <w:name w:val="ExperimentalSection"/>
    <w:basedOn w:val="Standard"/>
    <w:pPr>
      <w:spacing w:line="200" w:lineRule="exact"/>
      <w:jc w:val="both"/>
    </w:pPr>
    <w:rPr>
      <w:rFonts w:ascii="Arial" w:hAnsi="Arial"/>
      <w:sz w:val="16"/>
      <w:lang w:val="en-GB"/>
    </w:rPr>
  </w:style>
  <w:style w:type="paragraph" w:customStyle="1" w:styleId="HExperimentalSection">
    <w:name w:val="HExperimental_Section"/>
    <w:basedOn w:val="Standard"/>
    <w:pPr>
      <w:spacing w:before="460" w:after="230" w:line="230" w:lineRule="atLeast"/>
    </w:pPr>
    <w:rPr>
      <w:rFonts w:ascii="Arial" w:hAnsi="Arial"/>
      <w:b/>
      <w:i/>
      <w:sz w:val="22"/>
    </w:rPr>
  </w:style>
  <w:style w:type="paragraph" w:customStyle="1" w:styleId="SchemeCaption">
    <w:name w:val="SchemeCaption"/>
    <w:basedOn w:val="Standard"/>
    <w:pPr>
      <w:spacing w:before="230" w:after="460" w:line="200" w:lineRule="exact"/>
    </w:pPr>
    <w:rPr>
      <w:rFonts w:ascii="Arial" w:hAnsi="Arial"/>
      <w:sz w:val="16"/>
      <w:lang w:val="en-GB"/>
    </w:rPr>
  </w:style>
  <w:style w:type="paragraph" w:customStyle="1" w:styleId="FigureCaption">
    <w:name w:val="FigureCaption"/>
    <w:basedOn w:val="Standard"/>
    <w:pPr>
      <w:spacing w:before="230" w:after="460" w:line="200" w:lineRule="exact"/>
    </w:pPr>
    <w:rPr>
      <w:rFonts w:ascii="Arial" w:hAnsi="Arial"/>
      <w:sz w:val="16"/>
    </w:rPr>
  </w:style>
  <w:style w:type="paragraph" w:customStyle="1" w:styleId="TableCaption">
    <w:name w:val="TableCaption"/>
    <w:basedOn w:val="Standard"/>
    <w:pPr>
      <w:spacing w:before="230" w:after="120" w:line="200" w:lineRule="exact"/>
    </w:pPr>
    <w:rPr>
      <w:rFonts w:ascii="Arial" w:hAnsi="Arial"/>
      <w:sz w:val="16"/>
      <w:lang w:val="en-GB"/>
    </w:rPr>
  </w:style>
  <w:style w:type="paragraph" w:customStyle="1" w:styleId="TableHead">
    <w:name w:val="TableHead"/>
    <w:basedOn w:val="TableCaption"/>
    <w:pPr>
      <w:spacing w:before="60" w:after="60"/>
    </w:pPr>
  </w:style>
  <w:style w:type="paragraph" w:customStyle="1" w:styleId="TableBody">
    <w:name w:val="TableBody"/>
    <w:basedOn w:val="Standard"/>
    <w:pPr>
      <w:spacing w:line="230" w:lineRule="exact"/>
    </w:pPr>
    <w:rPr>
      <w:rFonts w:ascii="Arial" w:hAnsi="Arial"/>
      <w:sz w:val="16"/>
    </w:rPr>
  </w:style>
  <w:style w:type="paragraph" w:customStyle="1" w:styleId="TableFoot">
    <w:name w:val="TableFoot"/>
    <w:basedOn w:val="Standard"/>
    <w:pPr>
      <w:spacing w:after="460" w:line="230" w:lineRule="exact"/>
    </w:pPr>
    <w:rPr>
      <w:rFonts w:ascii="Arial" w:hAnsi="Arial"/>
      <w:sz w:val="16"/>
    </w:rPr>
  </w:style>
  <w:style w:type="paragraph" w:customStyle="1" w:styleId="Keywords">
    <w:name w:val="Keywords"/>
    <w:basedOn w:val="Standard"/>
    <w:pPr>
      <w:spacing w:before="230" w:after="460" w:line="230" w:lineRule="exact"/>
    </w:pPr>
    <w:rPr>
      <w:rFonts w:ascii="Arial" w:hAnsi="Arial"/>
      <w:sz w:val="16"/>
      <w:lang w:val="en-GB"/>
    </w:rPr>
  </w:style>
  <w:style w:type="paragraph" w:customStyle="1" w:styleId="ManuscriptID">
    <w:name w:val="ManuscriptID"/>
    <w:basedOn w:val="Standard"/>
    <w:pPr>
      <w:spacing w:after="120" w:line="230" w:lineRule="exact"/>
      <w:jc w:val="right"/>
    </w:pPr>
    <w:rPr>
      <w:rFonts w:ascii="Arial" w:hAnsi="Arial"/>
      <w:sz w:val="18"/>
      <w:lang w:val="en-GB"/>
    </w:rPr>
  </w:style>
  <w:style w:type="paragraph" w:customStyle="1" w:styleId="AuthorsTOC">
    <w:name w:val="Authors_TOC"/>
    <w:basedOn w:val="Authors"/>
    <w:pPr>
      <w:spacing w:before="230" w:after="0"/>
    </w:pPr>
    <w:rPr>
      <w:rFonts w:ascii="Arial" w:hAnsi="Arial"/>
      <w:i w:val="0"/>
      <w:sz w:val="18"/>
      <w:lang w:val="en-GB"/>
    </w:rPr>
  </w:style>
  <w:style w:type="paragraph" w:customStyle="1" w:styleId="TitleTOC">
    <w:name w:val="Title_TOC"/>
    <w:basedOn w:val="AuthorsTOC"/>
    <w:pPr>
      <w:spacing w:before="320"/>
    </w:pPr>
  </w:style>
  <w:style w:type="paragraph" w:customStyle="1" w:styleId="TableOfContentText">
    <w:name w:val="TableOfContentText"/>
    <w:basedOn w:val="AuthorsTOC"/>
    <w:pPr>
      <w:spacing w:before="120"/>
    </w:pPr>
  </w:style>
  <w:style w:type="paragraph" w:customStyle="1" w:styleId="P1withIndendation">
    <w:name w:val="P1_with_Indendation"/>
    <w:basedOn w:val="TableCaption"/>
    <w:pPr>
      <w:spacing w:before="0" w:after="0" w:line="230" w:lineRule="exact"/>
      <w:ind w:firstLine="284"/>
      <w:jc w:val="both"/>
    </w:pPr>
    <w:rPr>
      <w:rFonts w:ascii="Times New Roman" w:hAnsi="Times New Roman"/>
      <w:sz w:val="18"/>
    </w:rPr>
  </w:style>
  <w:style w:type="paragraph" w:customStyle="1" w:styleId="SubjectHeadingTOC">
    <w:name w:val="SubjectHeading_TOC"/>
    <w:basedOn w:val="SubjectHeading"/>
    <w:rPr>
      <w:lang w:val="en-GB"/>
    </w:rPr>
  </w:style>
  <w:style w:type="paragraph" w:styleId="Textkrper3">
    <w:name w:val="Body Text 3"/>
    <w:aliases w:val="Fließtext"/>
    <w:basedOn w:val="Standard"/>
    <w:pPr>
      <w:spacing w:line="480" w:lineRule="auto"/>
      <w:jc w:val="both"/>
    </w:pPr>
    <w:rPr>
      <w:rFonts w:eastAsia="Times New Roman"/>
      <w:sz w:val="24"/>
      <w:szCs w:val="20"/>
      <w:lang w:val="en-US" w:eastAsia="de-DE"/>
    </w:rPr>
  </w:style>
  <w:style w:type="character" w:styleId="Hyperlink">
    <w:name w:val="Hyperlink"/>
    <w:rsid w:val="005967CF"/>
    <w:rPr>
      <w:color w:val="0000FF"/>
      <w:u w:val="single"/>
    </w:rPr>
  </w:style>
  <w:style w:type="paragraph" w:customStyle="1" w:styleId="Affiliation">
    <w:name w:val="Affiliation"/>
    <w:basedOn w:val="Dedication"/>
    <w:rsid w:val="00C83DA5"/>
    <w:rPr>
      <w:lang w:val="en-US"/>
    </w:rPr>
  </w:style>
  <w:style w:type="paragraph" w:customStyle="1" w:styleId="Subsection">
    <w:name w:val="Subsection"/>
    <w:basedOn w:val="SubjectHeading"/>
    <w:rsid w:val="00C702A6"/>
    <w:pPr>
      <w:spacing w:before="180" w:after="180"/>
    </w:pPr>
    <w:rPr>
      <w:color w:val="auto"/>
    </w:rPr>
  </w:style>
  <w:style w:type="table" w:styleId="Tabellenraster">
    <w:name w:val="Table Grid"/>
    <w:basedOn w:val="NormaleTabelle"/>
    <w:rsid w:val="00D8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9ptBlock">
    <w:name w:val="Formatvorlage 9 pt Block"/>
    <w:basedOn w:val="Standard"/>
    <w:rsid w:val="00291EC0"/>
    <w:pPr>
      <w:jc w:val="both"/>
    </w:pPr>
    <w:rPr>
      <w:rFonts w:eastAsia="Times New Roman"/>
      <w:szCs w:val="20"/>
    </w:rPr>
  </w:style>
  <w:style w:type="paragraph" w:styleId="Fuzeile">
    <w:name w:val="footer"/>
    <w:basedOn w:val="Standard"/>
    <w:rsid w:val="00C036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3643"/>
  </w:style>
  <w:style w:type="paragraph" w:styleId="Kopfzeile">
    <w:name w:val="header"/>
    <w:basedOn w:val="Standard"/>
    <w:rsid w:val="00C036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ti.ac.at/saagas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Georg\LOKALE~1\Temp\Rar$DI01.185\2001_communicati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2001_communication.dot</Template>
  <TotalTime>0</TotalTime>
  <Pages>1</Pages>
  <Words>401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SAAGAS 22 template en</vt:lpstr>
    </vt:vector>
  </TitlesOfParts>
  <Company>ASER</Company>
  <LinksUpToDate>false</LinksUpToDate>
  <CharactersWithSpaces>2929</CharactersWithSpaces>
  <SharedDoc>false</SharedDoc>
  <HLinks>
    <vt:vector size="6" baseType="variant"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http://www.ati.ac.at/saagas22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SAAGAS 28 template en</dc:title>
  <dc:subject/>
  <dc:creator>saagas22@ati.ac.at</dc:creator>
  <cp:keywords/>
  <dc:description/>
  <cp:lastModifiedBy>Johannes Sterba</cp:lastModifiedBy>
  <cp:revision>2</cp:revision>
  <cp:lastPrinted>2008-03-03T13:08:00Z</cp:lastPrinted>
  <dcterms:created xsi:type="dcterms:W3CDTF">2024-06-19T15:08:00Z</dcterms:created>
  <dcterms:modified xsi:type="dcterms:W3CDTF">2024-06-19T15:08:00Z</dcterms:modified>
</cp:coreProperties>
</file>