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shd w:val="clear" w:color="auto" w:fill="0000FF"/>
        <w:tblLook w:val="01E0" w:firstRow="1" w:lastRow="1" w:firstColumn="1" w:lastColumn="1" w:noHBand="0" w:noVBand="0"/>
      </w:tblPr>
      <w:tblGrid>
        <w:gridCol w:w="2244"/>
        <w:gridCol w:w="5808"/>
        <w:gridCol w:w="2039"/>
      </w:tblGrid>
      <w:tr w:rsidR="00C03643" w14:paraId="32354242" w14:textId="77777777">
        <w:tc>
          <w:tcPr>
            <w:tcW w:w="2263" w:type="dxa"/>
            <w:shd w:val="clear" w:color="auto" w:fill="auto"/>
          </w:tcPr>
          <w:p w14:paraId="70E9024B" w14:textId="4003FD11" w:rsidR="00C03643" w:rsidRPr="00A037F3" w:rsidRDefault="00A037F3">
            <w:pPr>
              <w:pStyle w:val="SubjectHeading"/>
              <w:rPr>
                <w:b w:val="0"/>
                <w:i w:val="0"/>
                <w:color w:val="auto"/>
                <w:sz w:val="18"/>
                <w:lang w:val="en-US"/>
              </w:rPr>
            </w:pPr>
            <w:r w:rsidRPr="00A037F3">
              <w:rPr>
                <w:b w:val="0"/>
                <w:i w:val="0"/>
                <w:color w:val="auto"/>
                <w:sz w:val="18"/>
                <w:lang w:val="en-US"/>
              </w:rPr>
              <w:t>SAAGAS 2</w:t>
            </w:r>
            <w:r w:rsidR="0041020D">
              <w:rPr>
                <w:b w:val="0"/>
                <w:i w:val="0"/>
                <w:color w:val="auto"/>
                <w:sz w:val="18"/>
                <w:lang w:val="en-US"/>
              </w:rPr>
              <w:t>8</w:t>
            </w:r>
          </w:p>
        </w:tc>
        <w:tc>
          <w:tcPr>
            <w:tcW w:w="5892" w:type="dxa"/>
          </w:tcPr>
          <w:p w14:paraId="3609FC18" w14:textId="77777777" w:rsidR="00C03643" w:rsidRDefault="00C03643">
            <w:pPr>
              <w:pStyle w:val="ManuscriptID"/>
              <w:rPr>
                <w:lang w:val="en-US"/>
              </w:rPr>
            </w:pPr>
          </w:p>
        </w:tc>
        <w:tc>
          <w:tcPr>
            <w:tcW w:w="2046" w:type="dxa"/>
            <w:shd w:val="clear" w:color="auto" w:fill="3366FF"/>
            <w:vAlign w:val="center"/>
          </w:tcPr>
          <w:p w14:paraId="38190082" w14:textId="77777777" w:rsidR="00C03643" w:rsidRPr="00C03643" w:rsidRDefault="00C03643" w:rsidP="00C03643">
            <w:pPr>
              <w:pStyle w:val="ManuscriptID"/>
              <w:spacing w:after="0"/>
              <w:rPr>
                <w:b/>
                <w:i/>
                <w:color w:val="FFFFFF"/>
                <w:sz w:val="21"/>
                <w:szCs w:val="21"/>
                <w:lang w:val="en-US"/>
              </w:rPr>
            </w:pPr>
            <w:r w:rsidRPr="00C03643">
              <w:rPr>
                <w:b/>
                <w:i/>
                <w:color w:val="FFFFFF"/>
                <w:sz w:val="21"/>
                <w:szCs w:val="21"/>
                <w:lang w:val="en-US"/>
              </w:rPr>
              <w:t>Paläontologie</w:t>
            </w:r>
          </w:p>
        </w:tc>
      </w:tr>
    </w:tbl>
    <w:p w14:paraId="403BBF4F" w14:textId="77777777" w:rsidR="00DE4205" w:rsidRDefault="00C83DA5">
      <w:pPr>
        <w:pStyle w:val="Title"/>
        <w:rPr>
          <w:lang w:val="en-US"/>
        </w:rPr>
      </w:pPr>
      <w:r>
        <w:rPr>
          <w:lang w:val="en-US"/>
        </w:rPr>
        <w:t>Neut</w:t>
      </w:r>
      <w:r w:rsidR="00893AF2">
        <w:rPr>
          <w:lang w:val="en-US"/>
        </w:rPr>
        <w:t>r</w:t>
      </w:r>
      <w:r>
        <w:rPr>
          <w:lang w:val="en-US"/>
        </w:rPr>
        <w:t>onenaktivierungsanalyse ei</w:t>
      </w:r>
      <w:r w:rsidR="00893AF2">
        <w:rPr>
          <w:lang w:val="en-US"/>
        </w:rPr>
        <w:t>s</w:t>
      </w:r>
      <w:r>
        <w:rPr>
          <w:lang w:val="en-US"/>
        </w:rPr>
        <w:t>zeitlicher Mammutknochen</w:t>
      </w:r>
    </w:p>
    <w:p w14:paraId="4F2711AA" w14:textId="77777777" w:rsidR="00DE4205" w:rsidRPr="00C83DA5" w:rsidRDefault="00C83DA5">
      <w:pPr>
        <w:pStyle w:val="Authors"/>
      </w:pPr>
      <w:r w:rsidRPr="00C83DA5">
        <w:t>H</w:t>
      </w:r>
      <w:r w:rsidR="00C03643">
        <w:t>erib</w:t>
      </w:r>
      <w:r w:rsidRPr="00C83DA5">
        <w:t>ert Mark</w:t>
      </w:r>
      <w:r w:rsidR="00C03643">
        <w:t>s</w:t>
      </w:r>
      <w:r w:rsidRPr="00C83DA5">
        <w:t xml:space="preserve">bichler </w:t>
      </w:r>
      <w:r w:rsidRPr="00C83DA5">
        <w:rPr>
          <w:vertAlign w:val="superscript"/>
        </w:rPr>
        <w:t>a,</w:t>
      </w:r>
      <w:r w:rsidR="00DE4205" w:rsidRPr="00C83DA5">
        <w:rPr>
          <w:vertAlign w:val="superscript"/>
        </w:rPr>
        <w:t>*</w:t>
      </w:r>
      <w:r w:rsidR="00DE4205" w:rsidRPr="00C83DA5">
        <w:t xml:space="preserve">, </w:t>
      </w:r>
      <w:r w:rsidR="00CF3996">
        <w:t>Thomas</w:t>
      </w:r>
      <w:r w:rsidRPr="00C83DA5">
        <w:t xml:space="preserve"> F. McQueen </w:t>
      </w:r>
      <w:r w:rsidRPr="00C83DA5">
        <w:rPr>
          <w:vertAlign w:val="superscript"/>
        </w:rPr>
        <w:t>b</w:t>
      </w:r>
      <w:r w:rsidRPr="00C83DA5">
        <w:t>, Reinhard Madlehner</w:t>
      </w:r>
      <w:r>
        <w:t xml:space="preserve"> </w:t>
      </w:r>
      <w:r w:rsidRPr="00C83DA5">
        <w:rPr>
          <w:vertAlign w:val="superscript"/>
        </w:rPr>
        <w:t>a</w:t>
      </w:r>
    </w:p>
    <w:p w14:paraId="28DD8A0A" w14:textId="77777777" w:rsidR="00DE4205" w:rsidRPr="00C83DA5" w:rsidRDefault="00C83DA5" w:rsidP="00C83DA5">
      <w:pPr>
        <w:pStyle w:val="Affiliation"/>
        <w:rPr>
          <w:lang w:val="en-GB"/>
        </w:rPr>
        <w:sectPr w:rsidR="00DE4205" w:rsidRPr="00C83DA5">
          <w:footerReference w:type="even" r:id="rId6"/>
          <w:footerReference w:type="default" r:id="rId7"/>
          <w:pgSz w:w="11906" w:h="16838" w:code="9"/>
          <w:pgMar w:top="1134" w:right="851" w:bottom="1225" w:left="851" w:header="709" w:footer="709" w:gutter="0"/>
          <w:cols w:space="284" w:equalWidth="0">
            <w:col w:w="10204"/>
          </w:cols>
          <w:docGrid w:linePitch="360"/>
        </w:sectPr>
      </w:pPr>
      <w:r>
        <w:rPr>
          <w:vertAlign w:val="superscript"/>
          <w:lang w:val="de-DE"/>
        </w:rPr>
        <w:t>a</w:t>
      </w:r>
      <w:r w:rsidRPr="00C83DA5">
        <w:rPr>
          <w:lang w:val="de-DE"/>
        </w:rPr>
        <w:t xml:space="preserve"> </w:t>
      </w:r>
      <w:r w:rsidR="00CF3996">
        <w:rPr>
          <w:lang w:val="de-DE"/>
        </w:rPr>
        <w:t xml:space="preserve">Freie </w:t>
      </w:r>
      <w:r w:rsidRPr="00C83DA5">
        <w:rPr>
          <w:lang w:val="de-DE"/>
        </w:rPr>
        <w:t>Univ</w:t>
      </w:r>
      <w:r>
        <w:rPr>
          <w:lang w:val="de-DE"/>
        </w:rPr>
        <w:t>ersität Wien, Institut für Analytische</w:t>
      </w:r>
      <w:r w:rsidR="00A726B8">
        <w:rPr>
          <w:lang w:val="de-DE"/>
        </w:rPr>
        <w:t xml:space="preserve"> und</w:t>
      </w:r>
      <w:r>
        <w:rPr>
          <w:lang w:val="de-DE"/>
        </w:rPr>
        <w:t xml:space="preserve"> </w:t>
      </w:r>
      <w:r w:rsidR="00A726B8">
        <w:rPr>
          <w:lang w:val="de-DE"/>
        </w:rPr>
        <w:t>Radiochemie</w:t>
      </w:r>
      <w:r>
        <w:rPr>
          <w:lang w:val="de-DE"/>
        </w:rPr>
        <w:t xml:space="preserve">, Krottenbachstr. </w:t>
      </w:r>
      <w:r w:rsidRPr="00C83DA5">
        <w:rPr>
          <w:lang w:val="en-GB"/>
        </w:rPr>
        <w:t xml:space="preserve">52, 1190 Wien, Österreich; </w:t>
      </w:r>
      <w:r w:rsidRPr="00C83DA5">
        <w:rPr>
          <w:vertAlign w:val="superscript"/>
          <w:lang w:val="en-GB"/>
        </w:rPr>
        <w:t>b</w:t>
      </w:r>
      <w:r w:rsidRPr="00C83DA5">
        <w:rPr>
          <w:lang w:val="en-GB"/>
        </w:rPr>
        <w:t xml:space="preserve"> </w:t>
      </w:r>
      <w:r w:rsidR="00CF3996">
        <w:t xml:space="preserve">Dalhousie University, </w:t>
      </w:r>
      <w:r>
        <w:t>Department of Chemistry, Halifax, NS, Canada B3H 4J3</w:t>
      </w:r>
      <w:r w:rsidR="00CF3996">
        <w:t>; * Korrespondenz: herbert.markbichler@gmx.com</w:t>
      </w:r>
    </w:p>
    <w:p w14:paraId="56056EF5" w14:textId="77777777" w:rsidR="00CF3996" w:rsidRPr="00291EC0" w:rsidRDefault="00CF3996" w:rsidP="00291EC0">
      <w:pPr>
        <w:pStyle w:val="Formatvorlage9ptBlock"/>
      </w:pPr>
      <w:r w:rsidRPr="00291EC0">
        <w:rPr>
          <w:lang w:val="en-GB"/>
        </w:rPr>
        <w:t>Das ist regul</w:t>
      </w:r>
      <w:r w:rsidR="00893AF2" w:rsidRPr="00291EC0">
        <w:rPr>
          <w:lang w:val="en-GB"/>
        </w:rPr>
        <w:t>ä</w:t>
      </w:r>
      <w:r w:rsidRPr="00291EC0">
        <w:rPr>
          <w:lang w:val="en-GB"/>
        </w:rPr>
        <w:t xml:space="preserve">rer Text. </w:t>
      </w:r>
      <w:r w:rsidRPr="00291EC0">
        <w:t xml:space="preserve">Der Titel des Abstracts sollte prägnant und möglichst kurz sein. </w:t>
      </w:r>
      <w:r w:rsidR="00C702A6" w:rsidRPr="00291EC0">
        <w:t xml:space="preserve">Im </w:t>
      </w:r>
      <w:r w:rsidRPr="00291EC0">
        <w:t>blaue</w:t>
      </w:r>
      <w:r w:rsidR="00C702A6" w:rsidRPr="00291EC0">
        <w:t>n</w:t>
      </w:r>
      <w:r w:rsidRPr="00291EC0">
        <w:t xml:space="preserve"> Feld </w:t>
      </w:r>
      <w:r w:rsidR="00A037F3">
        <w:t>rechts</w:t>
      </w:r>
      <w:r w:rsidRPr="00291EC0">
        <w:t xml:space="preserve"> oben soll ein Stichwort </w:t>
      </w:r>
      <w:r w:rsidR="00C702A6" w:rsidRPr="00291EC0">
        <w:t>genannt werden</w:t>
      </w:r>
      <w:r w:rsidRPr="00291EC0">
        <w:t>, das die Arbeit am treffendsten beschreibt (z.B. Geochemie, Fehlerrechnung, Zählraten</w:t>
      </w:r>
      <w:r w:rsidR="00291EC0">
        <w:softHyphen/>
      </w:r>
      <w:r w:rsidRPr="00291EC0">
        <w:t xml:space="preserve">korrektur, Forensik, PGNAA etc.). </w:t>
      </w:r>
    </w:p>
    <w:p w14:paraId="297E983A" w14:textId="77777777" w:rsidR="00DE4205" w:rsidRPr="00291EC0" w:rsidRDefault="00CF3996" w:rsidP="00291EC0">
      <w:pPr>
        <w:pStyle w:val="Formatvorlage9ptBlock"/>
        <w:ind w:firstLine="425"/>
      </w:pPr>
      <w:r w:rsidRPr="00291EC0">
        <w:t xml:space="preserve">Absätze sollten wie hier gezeigt gesetzt werden. </w:t>
      </w:r>
      <w:r w:rsidR="00893AF2" w:rsidRPr="00291EC0">
        <w:t>Der Abstract ist auf eine A4-Seite zu beschränken. Tabellen und Grafiken können im Text integriert werden, sofern das Seitenlimit dabei nicht überschritten wird.</w:t>
      </w:r>
    </w:p>
    <w:p w14:paraId="78A2C022" w14:textId="77777777" w:rsidR="00C702A6" w:rsidRDefault="00D8615C" w:rsidP="00C702A6">
      <w:pPr>
        <w:pStyle w:val="Subsection"/>
      </w:pPr>
      <w:r>
        <w:t>Überschriften</w:t>
      </w:r>
    </w:p>
    <w:p w14:paraId="16B1DB1B" w14:textId="77777777" w:rsidR="00C702A6" w:rsidRDefault="00C702A6" w:rsidP="00291EC0">
      <w:pPr>
        <w:pStyle w:val="Formatvorlage9ptBlock"/>
      </w:pPr>
      <w:r>
        <w:t xml:space="preserve">Wo nötig, kann der Text in </w:t>
      </w:r>
      <w:r w:rsidR="00D8615C">
        <w:t>Untersektionen</w:t>
      </w:r>
      <w:r>
        <w:t xml:space="preserve"> unterteilt werden. Hier ein Beispiel dafür. Die Einleitung wird aus Platzgründen jedoch nicht separat betitelt.</w:t>
      </w:r>
    </w:p>
    <w:p w14:paraId="402F4CF0" w14:textId="77777777" w:rsidR="00291EC0" w:rsidRDefault="00291EC0" w:rsidP="00291EC0">
      <w:pPr>
        <w:pStyle w:val="Formatvorlage9ptBlock"/>
      </w:pPr>
      <w:r>
        <w:tab/>
        <w:t>Nach einer Überschrift wird der Text nicht eingerückt, so wie bei einem Absatz.</w:t>
      </w:r>
    </w:p>
    <w:p w14:paraId="71A75A84" w14:textId="77777777" w:rsidR="00C702A6" w:rsidRPr="00291EC0" w:rsidRDefault="00D8615C" w:rsidP="00D8615C">
      <w:pPr>
        <w:pStyle w:val="Subsection"/>
      </w:pPr>
      <w:r w:rsidRPr="00291EC0">
        <w:t>Beispiele</w:t>
      </w:r>
      <w:r w:rsidR="000363B2" w:rsidRPr="00291EC0">
        <w:t xml:space="preserve"> für Tabellen und Grafiken</w:t>
      </w:r>
    </w:p>
    <w:p w14:paraId="3C487729" w14:textId="77777777" w:rsidR="00D8615C" w:rsidRDefault="00A037F3" w:rsidP="00291EC0">
      <w:pPr>
        <w:pStyle w:val="Formatvorlage9ptBlock"/>
      </w:pPr>
      <w:r>
        <w:t>H</w:t>
      </w:r>
      <w:r w:rsidR="00D8615C" w:rsidRPr="00D8615C">
        <w:t xml:space="preserve">ier </w:t>
      </w:r>
      <w:r>
        <w:t xml:space="preserve">wird </w:t>
      </w:r>
      <w:r w:rsidR="00D8615C">
        <w:t xml:space="preserve">ein </w:t>
      </w:r>
      <w:r w:rsidR="00D8615C" w:rsidRPr="00D8615C">
        <w:t xml:space="preserve">Beispiel für </w:t>
      </w:r>
      <w:r w:rsidR="00D8615C">
        <w:t>t</w:t>
      </w:r>
      <w:r w:rsidR="00781466">
        <w:t>abe</w:t>
      </w:r>
      <w:r w:rsidR="00D8615C">
        <w:t>llarische Information (Tab. 1) gezeigt.</w:t>
      </w:r>
    </w:p>
    <w:p w14:paraId="43102774" w14:textId="77777777" w:rsidR="00781466" w:rsidRPr="00D8615C" w:rsidRDefault="00781466" w:rsidP="00291EC0">
      <w:pPr>
        <w:pStyle w:val="Formatvorlage9ptBlock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9"/>
        <w:gridCol w:w="995"/>
        <w:gridCol w:w="989"/>
        <w:gridCol w:w="985"/>
        <w:gridCol w:w="992"/>
      </w:tblGrid>
      <w:tr w:rsidR="00D8615C" w14:paraId="663645EA" w14:textId="77777777" w:rsidTr="00D3334B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65286" w14:textId="77777777" w:rsidR="00D8615C" w:rsidRDefault="00781466" w:rsidP="00781466">
            <w:pPr>
              <w:pStyle w:val="TableBody"/>
            </w:pPr>
            <w:r>
              <w:t>Probe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8C02A" w14:textId="77777777" w:rsidR="00D8615C" w:rsidRDefault="00781466" w:rsidP="00781466">
            <w:pPr>
              <w:pStyle w:val="TableBody"/>
            </w:pPr>
            <w:r>
              <w:t>Ca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0CACD" w14:textId="77777777" w:rsidR="00D8615C" w:rsidRDefault="00781466" w:rsidP="00781466">
            <w:pPr>
              <w:pStyle w:val="TableBody"/>
            </w:pPr>
            <w:r>
              <w:t>Sr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0CF26" w14:textId="77777777" w:rsidR="00D8615C" w:rsidRDefault="00781466" w:rsidP="00781466">
            <w:pPr>
              <w:pStyle w:val="TableBody"/>
            </w:pPr>
            <w:r>
              <w:t>Ba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7B2E1" w14:textId="77777777" w:rsidR="00D8615C" w:rsidRDefault="00781466" w:rsidP="00781466">
            <w:pPr>
              <w:pStyle w:val="TableBody"/>
            </w:pPr>
            <w:r>
              <w:t>Ra</w:t>
            </w:r>
          </w:p>
        </w:tc>
      </w:tr>
      <w:tr w:rsidR="00D8615C" w14:paraId="749AAF03" w14:textId="77777777" w:rsidTr="00D3334B"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4B251C97" w14:textId="77777777" w:rsidR="00D8615C" w:rsidRDefault="00781466" w:rsidP="00781466">
            <w:pPr>
              <w:pStyle w:val="TableBody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69C6ACFC" w14:textId="77777777" w:rsidR="00D8615C" w:rsidRDefault="00781466" w:rsidP="00781466">
            <w:pPr>
              <w:pStyle w:val="TableBody"/>
            </w:pPr>
            <w:r>
              <w:t>2000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05E7417A" w14:textId="77777777" w:rsidR="00D8615C" w:rsidRDefault="00781466" w:rsidP="00781466">
            <w:pPr>
              <w:pStyle w:val="TableBody"/>
            </w:pPr>
            <w:r>
              <w:t>200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13C79773" w14:textId="77777777" w:rsidR="00D8615C" w:rsidRDefault="00781466" w:rsidP="00781466">
            <w:pPr>
              <w:pStyle w:val="TableBody"/>
            </w:pPr>
            <w:r>
              <w:t>20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</w:tcPr>
          <w:p w14:paraId="6B09DE1B" w14:textId="77777777" w:rsidR="00D8615C" w:rsidRDefault="00781466" w:rsidP="00781466">
            <w:pPr>
              <w:pStyle w:val="TableBody"/>
            </w:pPr>
            <w:r>
              <w:t>0,20</w:t>
            </w:r>
          </w:p>
        </w:tc>
      </w:tr>
      <w:tr w:rsidR="00D8615C" w14:paraId="36353ED7" w14:textId="77777777" w:rsidTr="00D3334B">
        <w:tc>
          <w:tcPr>
            <w:tcW w:w="1020" w:type="dxa"/>
            <w:shd w:val="clear" w:color="auto" w:fill="auto"/>
          </w:tcPr>
          <w:p w14:paraId="6D38F402" w14:textId="77777777" w:rsidR="00D8615C" w:rsidRDefault="00781466" w:rsidP="00781466">
            <w:pPr>
              <w:pStyle w:val="TableBody"/>
            </w:pPr>
            <w:r>
              <w:t>2</w:t>
            </w:r>
          </w:p>
        </w:tc>
        <w:tc>
          <w:tcPr>
            <w:tcW w:w="1020" w:type="dxa"/>
            <w:shd w:val="clear" w:color="auto" w:fill="auto"/>
          </w:tcPr>
          <w:p w14:paraId="3CF5DC8D" w14:textId="77777777" w:rsidR="00D8615C" w:rsidRDefault="00781466" w:rsidP="00781466">
            <w:pPr>
              <w:pStyle w:val="TableBody"/>
            </w:pPr>
            <w:r>
              <w:t>2500</w:t>
            </w:r>
          </w:p>
        </w:tc>
        <w:tc>
          <w:tcPr>
            <w:tcW w:w="1020" w:type="dxa"/>
            <w:shd w:val="clear" w:color="auto" w:fill="auto"/>
          </w:tcPr>
          <w:p w14:paraId="3F1ACF62" w14:textId="77777777" w:rsidR="00D8615C" w:rsidRDefault="00781466" w:rsidP="00781466">
            <w:pPr>
              <w:pStyle w:val="TableBody"/>
            </w:pPr>
            <w:r>
              <w:t>250</w:t>
            </w:r>
          </w:p>
        </w:tc>
        <w:tc>
          <w:tcPr>
            <w:tcW w:w="1020" w:type="dxa"/>
            <w:shd w:val="clear" w:color="auto" w:fill="auto"/>
          </w:tcPr>
          <w:p w14:paraId="0292CB5B" w14:textId="77777777" w:rsidR="00D8615C" w:rsidRDefault="00781466" w:rsidP="00781466">
            <w:pPr>
              <w:pStyle w:val="TableBody"/>
            </w:pPr>
            <w:r>
              <w:t>25</w:t>
            </w:r>
          </w:p>
        </w:tc>
        <w:tc>
          <w:tcPr>
            <w:tcW w:w="1020" w:type="dxa"/>
            <w:shd w:val="clear" w:color="auto" w:fill="auto"/>
          </w:tcPr>
          <w:p w14:paraId="549012FC" w14:textId="77777777" w:rsidR="00D8615C" w:rsidRDefault="00781466" w:rsidP="00781466">
            <w:pPr>
              <w:pStyle w:val="TableBody"/>
            </w:pPr>
            <w:r>
              <w:t>0,25</w:t>
            </w:r>
          </w:p>
        </w:tc>
      </w:tr>
      <w:tr w:rsidR="00D8615C" w14:paraId="50747D89" w14:textId="77777777" w:rsidTr="00D3334B">
        <w:tc>
          <w:tcPr>
            <w:tcW w:w="1020" w:type="dxa"/>
            <w:shd w:val="clear" w:color="auto" w:fill="auto"/>
          </w:tcPr>
          <w:p w14:paraId="33B8A129" w14:textId="77777777" w:rsidR="00D8615C" w:rsidRDefault="00781466" w:rsidP="00781466">
            <w:pPr>
              <w:pStyle w:val="TableBody"/>
            </w:pPr>
            <w:r>
              <w:t>3</w:t>
            </w:r>
          </w:p>
        </w:tc>
        <w:tc>
          <w:tcPr>
            <w:tcW w:w="1020" w:type="dxa"/>
            <w:shd w:val="clear" w:color="auto" w:fill="auto"/>
          </w:tcPr>
          <w:p w14:paraId="4D0B80AE" w14:textId="77777777" w:rsidR="00D8615C" w:rsidRDefault="00781466" w:rsidP="00781466">
            <w:pPr>
              <w:pStyle w:val="TableBody"/>
            </w:pPr>
            <w:r>
              <w:t>3000</w:t>
            </w:r>
          </w:p>
        </w:tc>
        <w:tc>
          <w:tcPr>
            <w:tcW w:w="1020" w:type="dxa"/>
            <w:shd w:val="clear" w:color="auto" w:fill="auto"/>
          </w:tcPr>
          <w:p w14:paraId="4D54646F" w14:textId="77777777" w:rsidR="00D8615C" w:rsidRDefault="00781466" w:rsidP="00781466">
            <w:pPr>
              <w:pStyle w:val="TableBody"/>
            </w:pPr>
            <w:r>
              <w:t>300</w:t>
            </w:r>
          </w:p>
        </w:tc>
        <w:tc>
          <w:tcPr>
            <w:tcW w:w="1020" w:type="dxa"/>
            <w:shd w:val="clear" w:color="auto" w:fill="auto"/>
          </w:tcPr>
          <w:p w14:paraId="399DCC45" w14:textId="77777777" w:rsidR="00D8615C" w:rsidRDefault="00781466" w:rsidP="00781466">
            <w:pPr>
              <w:pStyle w:val="TableBody"/>
            </w:pPr>
            <w:r>
              <w:t>30</w:t>
            </w:r>
          </w:p>
        </w:tc>
        <w:tc>
          <w:tcPr>
            <w:tcW w:w="1020" w:type="dxa"/>
            <w:shd w:val="clear" w:color="auto" w:fill="auto"/>
          </w:tcPr>
          <w:p w14:paraId="75B233A7" w14:textId="77777777" w:rsidR="00D8615C" w:rsidRDefault="00781466" w:rsidP="00781466">
            <w:pPr>
              <w:pStyle w:val="TableBody"/>
            </w:pPr>
            <w:r>
              <w:t>0,30</w:t>
            </w:r>
          </w:p>
        </w:tc>
      </w:tr>
      <w:tr w:rsidR="00D8615C" w14:paraId="1C157400" w14:textId="77777777" w:rsidTr="00D3334B"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2000D1F4" w14:textId="77777777" w:rsidR="00D8615C" w:rsidRDefault="00781466" w:rsidP="00781466">
            <w:pPr>
              <w:pStyle w:val="TableBody"/>
            </w:pPr>
            <w:r>
              <w:t>4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5A8347AB" w14:textId="77777777" w:rsidR="00D8615C" w:rsidRDefault="00781466" w:rsidP="00781466">
            <w:pPr>
              <w:pStyle w:val="TableBody"/>
            </w:pPr>
            <w:r>
              <w:t>3500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796156A4" w14:textId="77777777" w:rsidR="00D8615C" w:rsidRDefault="00781466" w:rsidP="00781466">
            <w:pPr>
              <w:pStyle w:val="TableBody"/>
            </w:pPr>
            <w:r>
              <w:t>350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2645C485" w14:textId="77777777" w:rsidR="00D8615C" w:rsidRDefault="00781466" w:rsidP="00781466">
            <w:pPr>
              <w:pStyle w:val="TableBody"/>
            </w:pPr>
            <w:r>
              <w:t>35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</w:tcPr>
          <w:p w14:paraId="5D90EE5E" w14:textId="77777777" w:rsidR="00D8615C" w:rsidRDefault="00781466" w:rsidP="00781466">
            <w:pPr>
              <w:pStyle w:val="TableBody"/>
            </w:pPr>
            <w:r>
              <w:t>0,35</w:t>
            </w:r>
          </w:p>
        </w:tc>
      </w:tr>
    </w:tbl>
    <w:p w14:paraId="7E0FF465" w14:textId="77777777" w:rsidR="00D8615C" w:rsidRPr="00D8615C" w:rsidRDefault="00D8615C" w:rsidP="00D8615C">
      <w:pPr>
        <w:pStyle w:val="TableCaption"/>
        <w:rPr>
          <w:lang w:val="de-DE"/>
        </w:rPr>
      </w:pPr>
      <w:r w:rsidRPr="00781466">
        <w:rPr>
          <w:b/>
          <w:i/>
          <w:lang w:val="de-DE"/>
        </w:rPr>
        <w:t>Tabelle 1</w:t>
      </w:r>
      <w:r w:rsidRPr="00D8615C">
        <w:rPr>
          <w:lang w:val="de-DE"/>
        </w:rPr>
        <w:t xml:space="preserve">: Tabelle mit für das Verständnis </w:t>
      </w:r>
      <w:r>
        <w:rPr>
          <w:lang w:val="de-DE"/>
        </w:rPr>
        <w:t xml:space="preserve">essentiellen </w:t>
      </w:r>
      <w:r w:rsidRPr="00D8615C">
        <w:rPr>
          <w:lang w:val="de-DE"/>
        </w:rPr>
        <w:t>Daten</w:t>
      </w:r>
      <w:r>
        <w:rPr>
          <w:lang w:val="de-DE"/>
        </w:rPr>
        <w:t>.</w:t>
      </w:r>
      <w:r w:rsidR="00781466">
        <w:rPr>
          <w:lang w:val="de-DE"/>
        </w:rPr>
        <w:t xml:space="preserve"> Konzentrationen in mg/kg.</w:t>
      </w:r>
    </w:p>
    <w:p w14:paraId="451FC313" w14:textId="77777777" w:rsidR="00DE4205" w:rsidRDefault="00781466" w:rsidP="00A037F3">
      <w:pPr>
        <w:pStyle w:val="Formatvorlage9ptBlock"/>
        <w:ind w:firstLine="425"/>
      </w:pPr>
      <w:r w:rsidRPr="00781466">
        <w:t>Auch Grafiken</w:t>
      </w:r>
      <w:r>
        <w:t>, Fotos, Schemata</w:t>
      </w:r>
      <w:r w:rsidRPr="00781466">
        <w:t xml:space="preserve"> können in den Text integriert werden (siehe Abb. </w:t>
      </w:r>
      <w:r>
        <w:t xml:space="preserve">1). </w:t>
      </w:r>
      <w:r w:rsidR="000363B2">
        <w:t xml:space="preserve">Ad Farbabbildungen: Der </w:t>
      </w:r>
      <w:r w:rsidR="006A05FF">
        <w:t>Abstract-Band wird in Fa</w:t>
      </w:r>
      <w:r w:rsidR="000363B2">
        <w:t>r</w:t>
      </w:r>
      <w:r w:rsidR="006A05FF">
        <w:t>be</w:t>
      </w:r>
      <w:r w:rsidR="000363B2">
        <w:t xml:space="preserve"> auf die Homepage </w:t>
      </w:r>
      <w:r w:rsidR="00581CB1">
        <w:t xml:space="preserve">[1] </w:t>
      </w:r>
      <w:r w:rsidR="000363B2">
        <w:t xml:space="preserve">gestellt werden, </w:t>
      </w:r>
      <w:r w:rsidR="00291EC0">
        <w:t xml:space="preserve">gedruckt wird </w:t>
      </w:r>
      <w:r w:rsidR="000363B2">
        <w:t>jedoch in schwarz-weiß! Bitte dies zu berücksichtigen.</w:t>
      </w:r>
    </w:p>
    <w:p w14:paraId="6E8B7775" w14:textId="77777777" w:rsidR="006A05FF" w:rsidRDefault="006A05FF">
      <w:pPr>
        <w:ind w:firstLine="425"/>
        <w:jc w:val="both"/>
        <w:rPr>
          <w:sz w:val="18"/>
          <w:szCs w:val="18"/>
        </w:rPr>
      </w:pPr>
    </w:p>
    <w:p w14:paraId="7772AF3F" w14:textId="70C56C78" w:rsidR="00781466" w:rsidRPr="00781466" w:rsidRDefault="0041020D" w:rsidP="006A05FF">
      <w:pPr>
        <w:jc w:val="center"/>
        <w:rPr>
          <w:sz w:val="18"/>
          <w:szCs w:val="18"/>
        </w:rPr>
      </w:pPr>
      <w:r w:rsidRPr="00DB46A7">
        <w:rPr>
          <w:noProof/>
          <w:sz w:val="18"/>
          <w:szCs w:val="18"/>
        </w:rPr>
        <w:drawing>
          <wp:inline distT="0" distB="0" distL="0" distR="0" wp14:anchorId="32FF1231" wp14:editId="08F66D22">
            <wp:extent cx="914400" cy="12192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A0BE3" w14:textId="77777777" w:rsidR="006A05FF" w:rsidRDefault="006A05FF" w:rsidP="006A05FF">
      <w:pPr>
        <w:pStyle w:val="FigureCaption"/>
        <w:rPr>
          <w:szCs w:val="18"/>
        </w:rPr>
      </w:pPr>
      <w:r w:rsidRPr="006A05FF">
        <w:rPr>
          <w:b/>
          <w:i/>
          <w:szCs w:val="18"/>
        </w:rPr>
        <w:t>Abbildung 1</w:t>
      </w:r>
      <w:r>
        <w:rPr>
          <w:szCs w:val="18"/>
        </w:rPr>
        <w:t xml:space="preserve">: Ein </w:t>
      </w:r>
      <w:r w:rsidR="000363B2">
        <w:rPr>
          <w:szCs w:val="18"/>
        </w:rPr>
        <w:t>Foto</w:t>
      </w:r>
      <w:r>
        <w:rPr>
          <w:szCs w:val="18"/>
        </w:rPr>
        <w:t xml:space="preserve"> als Beispiel.</w:t>
      </w:r>
    </w:p>
    <w:p w14:paraId="4D66AAA7" w14:textId="77777777" w:rsidR="006A05FF" w:rsidRPr="006A05FF" w:rsidRDefault="00784650" w:rsidP="006A05FF">
      <w:pPr>
        <w:pStyle w:val="Subsection"/>
      </w:pPr>
      <w:r>
        <w:br w:type="column"/>
      </w:r>
      <w:r w:rsidR="00581CB1">
        <w:t>Zitierweise</w:t>
      </w:r>
    </w:p>
    <w:p w14:paraId="76ADA26E" w14:textId="77777777" w:rsidR="006A05FF" w:rsidRDefault="006A05FF" w:rsidP="00291EC0">
      <w:pPr>
        <w:pStyle w:val="Formatvorlage9ptBlock"/>
      </w:pPr>
      <w:r w:rsidRPr="006A05FF">
        <w:t>Um den Abstracts ein einheitliches Bild zu verleihen, bitten wir</w:t>
      </w:r>
      <w:r>
        <w:t>,</w:t>
      </w:r>
      <w:r w:rsidRPr="006A05FF">
        <w:t xml:space="preserve"> die </w:t>
      </w:r>
      <w:r w:rsidR="00581CB1">
        <w:t>Referenzen</w:t>
      </w:r>
      <w:r w:rsidRPr="006A05FF">
        <w:t xml:space="preserve"> </w:t>
      </w:r>
      <w:r>
        <w:t>der unten stehenden Vorlage anzupassen. Im Text sollen Verweise so [2] aussehen, oder so [2, 3], oder so [2-4]</w:t>
      </w:r>
      <w:r w:rsidR="00A91D42">
        <w:t xml:space="preserve"> oder so [3, 5-8</w:t>
      </w:r>
      <w:r w:rsidR="00A726B8">
        <w:t>]</w:t>
      </w:r>
      <w:r>
        <w:t xml:space="preserve">. Bei „in press“ Verweisen </w:t>
      </w:r>
      <w:r w:rsidR="00A726B8">
        <w:t xml:space="preserve">auf Zeitschriftenartikel </w:t>
      </w:r>
      <w:r>
        <w:t>ist der Titel mit anzu</w:t>
      </w:r>
      <w:r w:rsidR="000363B2">
        <w:t>führen</w:t>
      </w:r>
      <w:r>
        <w:t xml:space="preserve"> [3].</w:t>
      </w:r>
    </w:p>
    <w:p w14:paraId="7E3D4706" w14:textId="77777777" w:rsidR="006A05FF" w:rsidRPr="006A05FF" w:rsidRDefault="006A05FF">
      <w:pPr>
        <w:ind w:firstLine="425"/>
        <w:jc w:val="both"/>
        <w:rPr>
          <w:sz w:val="18"/>
          <w:szCs w:val="18"/>
        </w:rPr>
      </w:pPr>
    </w:p>
    <w:p w14:paraId="0FDAB522" w14:textId="77777777" w:rsidR="00DE4205" w:rsidRDefault="00DE4205">
      <w:pPr>
        <w:pStyle w:val="References"/>
        <w:pBdr>
          <w:top w:val="single" w:sz="12" w:space="1" w:color="999999"/>
        </w:pBdr>
        <w:rPr>
          <w:lang w:val="en-US"/>
        </w:rPr>
      </w:pPr>
      <w:r>
        <w:rPr>
          <w:lang w:val="en-US"/>
        </w:rPr>
        <w:t>[1]</w:t>
      </w:r>
      <w:r>
        <w:rPr>
          <w:lang w:val="en-US"/>
        </w:rPr>
        <w:tab/>
      </w:r>
      <w:hyperlink r:id="rId9" w:history="1">
        <w:r w:rsidR="006A05FF" w:rsidRPr="0001173A">
          <w:rPr>
            <w:rStyle w:val="Hyperlink"/>
            <w:lang w:val="en-US"/>
          </w:rPr>
          <w:t>http://www.ati.ac.at/saagas22</w:t>
        </w:r>
      </w:hyperlink>
      <w:r w:rsidR="006A05FF">
        <w:rPr>
          <w:lang w:val="en-US"/>
        </w:rPr>
        <w:t xml:space="preserve"> (März </w:t>
      </w:r>
      <w:r w:rsidR="006A05FF" w:rsidRPr="00A037F3">
        <w:rPr>
          <w:b/>
          <w:lang w:val="en-US"/>
        </w:rPr>
        <w:t>2008</w:t>
      </w:r>
      <w:r w:rsidR="006A05FF">
        <w:rPr>
          <w:lang w:val="en-US"/>
        </w:rPr>
        <w:t>)</w:t>
      </w:r>
    </w:p>
    <w:p w14:paraId="546387E2" w14:textId="77777777" w:rsidR="00DE4205" w:rsidRPr="006A05FF" w:rsidRDefault="00DE4205">
      <w:pPr>
        <w:pStyle w:val="References"/>
        <w:pBdr>
          <w:top w:val="single" w:sz="12" w:space="1" w:color="999999"/>
        </w:pBdr>
        <w:rPr>
          <w:szCs w:val="18"/>
        </w:rPr>
      </w:pPr>
      <w:r w:rsidRPr="006A05FF">
        <w:rPr>
          <w:szCs w:val="18"/>
          <w:lang w:val="de-DE"/>
        </w:rPr>
        <w:t>[2]</w:t>
      </w:r>
      <w:r w:rsidRPr="006A05FF">
        <w:rPr>
          <w:szCs w:val="18"/>
          <w:lang w:val="de-DE"/>
        </w:rPr>
        <w:tab/>
      </w:r>
      <w:r w:rsidR="006A05FF" w:rsidRPr="006A05FF">
        <w:rPr>
          <w:szCs w:val="18"/>
          <w:lang w:val="de-DE"/>
        </w:rPr>
        <w:t>H. Mark</w:t>
      </w:r>
      <w:r w:rsidR="00C03643">
        <w:rPr>
          <w:szCs w:val="18"/>
          <w:lang w:val="de-DE"/>
        </w:rPr>
        <w:t>s</w:t>
      </w:r>
      <w:r w:rsidR="006A05FF" w:rsidRPr="006A05FF">
        <w:rPr>
          <w:szCs w:val="18"/>
          <w:lang w:val="de-DE"/>
        </w:rPr>
        <w:t xml:space="preserve">bichler, R. Madlehner, </w:t>
      </w:r>
      <w:r w:rsidR="006A05FF" w:rsidRPr="000363B2">
        <w:rPr>
          <w:i/>
          <w:szCs w:val="18"/>
          <w:lang w:val="de-DE"/>
        </w:rPr>
        <w:t xml:space="preserve">J. Radioanal. </w:t>
      </w:r>
      <w:r w:rsidR="006A05FF" w:rsidRPr="000363B2">
        <w:rPr>
          <w:i/>
          <w:szCs w:val="18"/>
        </w:rPr>
        <w:t>Nucl. Chem.</w:t>
      </w:r>
      <w:r w:rsidR="006A05FF" w:rsidRPr="006A05FF">
        <w:rPr>
          <w:szCs w:val="18"/>
        </w:rPr>
        <w:t xml:space="preserve"> </w:t>
      </w:r>
      <w:r w:rsidR="006A05FF" w:rsidRPr="006A05FF">
        <w:rPr>
          <w:b/>
          <w:szCs w:val="18"/>
        </w:rPr>
        <w:t>2006</w:t>
      </w:r>
      <w:r w:rsidR="006A05FF" w:rsidRPr="006A05FF">
        <w:rPr>
          <w:szCs w:val="18"/>
        </w:rPr>
        <w:t xml:space="preserve">, </w:t>
      </w:r>
      <w:r w:rsidR="006A05FF" w:rsidRPr="006A05FF">
        <w:rPr>
          <w:i/>
          <w:szCs w:val="18"/>
        </w:rPr>
        <w:t>488</w:t>
      </w:r>
      <w:r w:rsidR="006A05FF" w:rsidRPr="006A05FF">
        <w:rPr>
          <w:szCs w:val="18"/>
        </w:rPr>
        <w:t>, 13-22.</w:t>
      </w:r>
    </w:p>
    <w:p w14:paraId="0960BB3A" w14:textId="77777777" w:rsidR="006A05FF" w:rsidRPr="006A05FF" w:rsidRDefault="00DE4205">
      <w:pPr>
        <w:pStyle w:val="References"/>
        <w:pBdr>
          <w:top w:val="single" w:sz="12" w:space="1" w:color="999999"/>
        </w:pBdr>
        <w:rPr>
          <w:szCs w:val="18"/>
        </w:rPr>
      </w:pPr>
      <w:r w:rsidRPr="00A037F3">
        <w:rPr>
          <w:szCs w:val="18"/>
        </w:rPr>
        <w:t>[3]</w:t>
      </w:r>
      <w:r w:rsidRPr="00A037F3">
        <w:rPr>
          <w:szCs w:val="18"/>
        </w:rPr>
        <w:tab/>
      </w:r>
      <w:r w:rsidR="006A05FF" w:rsidRPr="00A037F3">
        <w:rPr>
          <w:szCs w:val="18"/>
        </w:rPr>
        <w:t xml:space="preserve">K. Ostborn, F. Verzetnik, </w:t>
      </w:r>
      <w:r w:rsidR="00A037F3" w:rsidRPr="000363B2">
        <w:rPr>
          <w:szCs w:val="18"/>
        </w:rPr>
        <w:t>New trends in activation analysis</w:t>
      </w:r>
      <w:r w:rsidR="00A037F3">
        <w:rPr>
          <w:szCs w:val="18"/>
        </w:rPr>
        <w:t>,</w:t>
      </w:r>
      <w:r w:rsidR="00A037F3" w:rsidRPr="00A037F3">
        <w:rPr>
          <w:i/>
          <w:szCs w:val="18"/>
        </w:rPr>
        <w:t xml:space="preserve"> </w:t>
      </w:r>
      <w:r w:rsidR="006A05FF" w:rsidRPr="00A037F3">
        <w:rPr>
          <w:i/>
          <w:szCs w:val="18"/>
        </w:rPr>
        <w:t xml:space="preserve">Appl. </w:t>
      </w:r>
      <w:r w:rsidR="006A05FF" w:rsidRPr="000363B2">
        <w:rPr>
          <w:i/>
          <w:szCs w:val="18"/>
        </w:rPr>
        <w:t>Radiat. Isot.</w:t>
      </w:r>
      <w:r w:rsidR="006A05FF">
        <w:rPr>
          <w:szCs w:val="18"/>
        </w:rPr>
        <w:t>,</w:t>
      </w:r>
      <w:r w:rsidR="006A05FF" w:rsidRPr="006A05FF">
        <w:rPr>
          <w:szCs w:val="18"/>
        </w:rPr>
        <w:t xml:space="preserve"> </w:t>
      </w:r>
      <w:r w:rsidR="006A05FF" w:rsidRPr="006A05FF">
        <w:rPr>
          <w:b/>
          <w:szCs w:val="18"/>
        </w:rPr>
        <w:t>2008</w:t>
      </w:r>
      <w:r w:rsidR="006A05FF">
        <w:rPr>
          <w:szCs w:val="18"/>
        </w:rPr>
        <w:t>, in press.</w:t>
      </w:r>
    </w:p>
    <w:p w14:paraId="5EFB568B" w14:textId="77777777" w:rsidR="00DE4205" w:rsidRDefault="00DE4205">
      <w:pPr>
        <w:pStyle w:val="References"/>
        <w:pBdr>
          <w:top w:val="single" w:sz="12" w:space="1" w:color="999999"/>
        </w:pBdr>
        <w:rPr>
          <w:szCs w:val="18"/>
          <w:lang w:val="en-US"/>
        </w:rPr>
      </w:pPr>
      <w:r>
        <w:rPr>
          <w:szCs w:val="18"/>
          <w:lang w:val="en-US"/>
        </w:rPr>
        <w:t>[4]</w:t>
      </w:r>
      <w:r>
        <w:rPr>
          <w:szCs w:val="18"/>
          <w:lang w:val="en-US"/>
        </w:rPr>
        <w:tab/>
      </w:r>
      <w:r w:rsidR="006A05FF">
        <w:rPr>
          <w:szCs w:val="18"/>
          <w:lang w:val="en-US"/>
        </w:rPr>
        <w:t>T</w:t>
      </w:r>
      <w:r w:rsidR="000363B2">
        <w:rPr>
          <w:szCs w:val="18"/>
          <w:lang w:val="en-US"/>
        </w:rPr>
        <w:t>.</w:t>
      </w:r>
      <w:r w:rsidR="006A05FF">
        <w:rPr>
          <w:szCs w:val="18"/>
          <w:lang w:val="en-US"/>
        </w:rPr>
        <w:t xml:space="preserve">F. McQueen, Dissertation, </w:t>
      </w:r>
      <w:smartTag w:uri="urn:schemas-microsoft-com:office:smarttags" w:element="place">
        <w:smartTag w:uri="urn:schemas-microsoft-com:office:smarttags" w:element="PlaceName">
          <w:r w:rsidR="006A05FF">
            <w:rPr>
              <w:szCs w:val="18"/>
              <w:lang w:val="en-US"/>
            </w:rPr>
            <w:t>Dalhousie</w:t>
          </w:r>
        </w:smartTag>
        <w:r w:rsidR="006A05FF">
          <w:rPr>
            <w:szCs w:val="18"/>
            <w:lang w:val="en-US"/>
          </w:rPr>
          <w:t xml:space="preserve"> </w:t>
        </w:r>
        <w:smartTag w:uri="urn:schemas-microsoft-com:office:smarttags" w:element="PlaceType">
          <w:r w:rsidR="006A05FF">
            <w:rPr>
              <w:szCs w:val="18"/>
              <w:lang w:val="en-US"/>
            </w:rPr>
            <w:t>University</w:t>
          </w:r>
        </w:smartTag>
      </w:smartTag>
      <w:r w:rsidR="000363B2">
        <w:rPr>
          <w:szCs w:val="18"/>
          <w:lang w:val="en-US"/>
        </w:rPr>
        <w:t xml:space="preserve">, </w:t>
      </w:r>
      <w:r w:rsidR="000363B2" w:rsidRPr="000363B2">
        <w:rPr>
          <w:b/>
          <w:szCs w:val="18"/>
          <w:lang w:val="en-US"/>
        </w:rPr>
        <w:t>2005</w:t>
      </w:r>
      <w:r w:rsidR="006A05FF">
        <w:rPr>
          <w:szCs w:val="18"/>
          <w:lang w:val="en-US"/>
        </w:rPr>
        <w:t xml:space="preserve">. </w:t>
      </w:r>
    </w:p>
    <w:p w14:paraId="6B33EE5B" w14:textId="77777777" w:rsidR="00DE4205" w:rsidRDefault="00DE4205">
      <w:pPr>
        <w:pStyle w:val="References"/>
        <w:pBdr>
          <w:top w:val="single" w:sz="12" w:space="1" w:color="999999"/>
        </w:pBdr>
        <w:rPr>
          <w:szCs w:val="18"/>
          <w:lang w:val="en-US"/>
        </w:rPr>
      </w:pPr>
      <w:r>
        <w:rPr>
          <w:szCs w:val="18"/>
          <w:lang w:val="en-US"/>
        </w:rPr>
        <w:t>[5]</w:t>
      </w:r>
      <w:r>
        <w:rPr>
          <w:szCs w:val="18"/>
          <w:lang w:val="en-US"/>
        </w:rPr>
        <w:tab/>
      </w:r>
      <w:r w:rsidR="00A726B8">
        <w:rPr>
          <w:szCs w:val="18"/>
          <w:lang w:val="en-US"/>
        </w:rPr>
        <w:t xml:space="preserve"> K.C. Williams, M. McKinley, </w:t>
      </w:r>
      <w:r w:rsidR="00A726B8" w:rsidRPr="00A726B8">
        <w:rPr>
          <w:i/>
          <w:szCs w:val="18"/>
          <w:lang w:val="en-US"/>
        </w:rPr>
        <w:t>A typical book title</w:t>
      </w:r>
      <w:r w:rsidR="00A726B8">
        <w:rPr>
          <w:szCs w:val="18"/>
          <w:lang w:val="en-US"/>
        </w:rPr>
        <w:t xml:space="preserve">, VCH, Weinheim, </w:t>
      </w:r>
      <w:r w:rsidR="00A726B8" w:rsidRPr="00A726B8">
        <w:rPr>
          <w:b/>
          <w:szCs w:val="18"/>
          <w:lang w:val="en-US"/>
        </w:rPr>
        <w:t>1998</w:t>
      </w:r>
      <w:r w:rsidR="00A726B8">
        <w:rPr>
          <w:szCs w:val="18"/>
          <w:lang w:val="en-US"/>
        </w:rPr>
        <w:t>, pp. 215-218.</w:t>
      </w:r>
    </w:p>
    <w:p w14:paraId="424C0D6C" w14:textId="77777777" w:rsidR="00A726B8" w:rsidRDefault="00DE4205">
      <w:pPr>
        <w:pStyle w:val="References"/>
        <w:pBdr>
          <w:top w:val="single" w:sz="12" w:space="1" w:color="999999"/>
        </w:pBdr>
        <w:rPr>
          <w:szCs w:val="18"/>
          <w:lang w:val="en-US"/>
        </w:rPr>
      </w:pPr>
      <w:r>
        <w:rPr>
          <w:szCs w:val="18"/>
          <w:lang w:val="en-US"/>
        </w:rPr>
        <w:t>[6]</w:t>
      </w:r>
      <w:r>
        <w:rPr>
          <w:szCs w:val="18"/>
          <w:lang w:val="en-US"/>
        </w:rPr>
        <w:tab/>
        <w:t xml:space="preserve">A. Hammerl, </w:t>
      </w:r>
      <w:r w:rsidR="00A726B8">
        <w:rPr>
          <w:szCs w:val="18"/>
          <w:lang w:val="en-US"/>
        </w:rPr>
        <w:t xml:space="preserve">G. Gans, </w:t>
      </w:r>
      <w:r w:rsidR="00A726B8" w:rsidRPr="00A726B8">
        <w:rPr>
          <w:i/>
          <w:szCs w:val="18"/>
          <w:lang w:val="en-US"/>
        </w:rPr>
        <w:t>A reference to a book with editors</w:t>
      </w:r>
      <w:r w:rsidR="00A726B8">
        <w:rPr>
          <w:szCs w:val="18"/>
          <w:lang w:val="en-US"/>
        </w:rPr>
        <w:t xml:space="preserve">, in: K.M. Weiler (Ed.), </w:t>
      </w:r>
      <w:r w:rsidR="00A726B8" w:rsidRPr="00A726B8">
        <w:rPr>
          <w:i/>
          <w:szCs w:val="18"/>
          <w:lang w:val="en-US"/>
        </w:rPr>
        <w:t>Nuclear Energy</w:t>
      </w:r>
      <w:r w:rsidR="00A726B8">
        <w:rPr>
          <w:szCs w:val="18"/>
          <w:lang w:val="en-US"/>
        </w:rPr>
        <w:t xml:space="preserve">, Springer, Wien, </w:t>
      </w:r>
      <w:r w:rsidR="00A726B8" w:rsidRPr="00A726B8">
        <w:rPr>
          <w:b/>
          <w:szCs w:val="18"/>
          <w:lang w:val="en-US"/>
        </w:rPr>
        <w:t>2006</w:t>
      </w:r>
      <w:r w:rsidR="00A726B8">
        <w:rPr>
          <w:szCs w:val="18"/>
          <w:lang w:val="en-US"/>
        </w:rPr>
        <w:t>, 15-34.</w:t>
      </w:r>
    </w:p>
    <w:p w14:paraId="7AABC584" w14:textId="77777777" w:rsidR="00DE4205" w:rsidRDefault="00DE4205">
      <w:pPr>
        <w:pStyle w:val="References"/>
        <w:pBdr>
          <w:top w:val="single" w:sz="12" w:space="1" w:color="999999"/>
        </w:pBdr>
        <w:rPr>
          <w:bCs/>
        </w:rPr>
      </w:pPr>
      <w:r w:rsidRPr="007765F3">
        <w:rPr>
          <w:szCs w:val="18"/>
        </w:rPr>
        <w:t>[7]</w:t>
      </w:r>
      <w:r w:rsidRPr="007765F3">
        <w:rPr>
          <w:szCs w:val="18"/>
        </w:rPr>
        <w:tab/>
      </w:r>
      <w:r w:rsidR="00A726B8" w:rsidRPr="007765F3">
        <w:t xml:space="preserve">C.R. Botta (Patent AG), DE 2235093, </w:t>
      </w:r>
      <w:r w:rsidR="00A726B8" w:rsidRPr="007765F3">
        <w:rPr>
          <w:b/>
          <w:bCs/>
        </w:rPr>
        <w:t>1973</w:t>
      </w:r>
      <w:r w:rsidR="00A726B8" w:rsidRPr="007765F3">
        <w:rPr>
          <w:bCs/>
        </w:rPr>
        <w:t>.</w:t>
      </w:r>
    </w:p>
    <w:p w14:paraId="2AC55EA0" w14:textId="77777777" w:rsidR="00DE4205" w:rsidRPr="00291EC0" w:rsidRDefault="007765F3" w:rsidP="007765F3">
      <w:pPr>
        <w:pStyle w:val="References"/>
        <w:pBdr>
          <w:top w:val="single" w:sz="12" w:space="1" w:color="999999"/>
        </w:pBdr>
        <w:rPr>
          <w:szCs w:val="16"/>
          <w:lang w:val="de-DE"/>
        </w:rPr>
      </w:pPr>
      <w:r w:rsidRPr="00291EC0">
        <w:rPr>
          <w:bCs/>
          <w:lang w:val="de-DE"/>
        </w:rPr>
        <w:t>[8]</w:t>
      </w:r>
      <w:r w:rsidR="00DE4205" w:rsidRPr="00291EC0">
        <w:rPr>
          <w:lang w:val="de-DE"/>
        </w:rPr>
        <w:tab/>
        <w:t xml:space="preserve">F. Wirth, </w:t>
      </w:r>
      <w:r w:rsidR="00DE4205" w:rsidRPr="00291EC0">
        <w:rPr>
          <w:i/>
          <w:lang w:val="de-DE"/>
        </w:rPr>
        <w:t>Seltene Erden</w:t>
      </w:r>
      <w:r w:rsidR="00DE4205" w:rsidRPr="00291EC0">
        <w:rPr>
          <w:lang w:val="de-DE"/>
        </w:rPr>
        <w:t xml:space="preserve">, in: Ullmanns Enzyklopädie der technischen Chemie, 3rd ed., Urban &amp; Schwarzenberg, Berlin/Wien, </w:t>
      </w:r>
      <w:r w:rsidR="00DE4205" w:rsidRPr="00291EC0">
        <w:rPr>
          <w:b/>
          <w:lang w:val="de-DE"/>
        </w:rPr>
        <w:t>1929</w:t>
      </w:r>
      <w:r w:rsidR="00DE4205" w:rsidRPr="00291EC0">
        <w:rPr>
          <w:lang w:val="de-DE"/>
        </w:rPr>
        <w:t>.</w:t>
      </w:r>
    </w:p>
    <w:p w14:paraId="70CBFBC2" w14:textId="77777777" w:rsidR="00DE4205" w:rsidRPr="00291EC0" w:rsidRDefault="00DE4205">
      <w:pPr>
        <w:pStyle w:val="References"/>
        <w:pBdr>
          <w:top w:val="single" w:sz="12" w:space="1" w:color="999999"/>
        </w:pBdr>
        <w:rPr>
          <w:lang w:val="de-DE"/>
        </w:rPr>
      </w:pPr>
    </w:p>
    <w:sectPr w:rsidR="00DE4205" w:rsidRPr="00291EC0" w:rsidSect="007765F3">
      <w:headerReference w:type="even" r:id="rId10"/>
      <w:type w:val="continuous"/>
      <w:pgSz w:w="11906" w:h="16838" w:code="9"/>
      <w:pgMar w:top="1134" w:right="851" w:bottom="1225" w:left="85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A4F9E" w14:textId="77777777" w:rsidR="006D4A7D" w:rsidRDefault="006D4A7D">
      <w:r>
        <w:separator/>
      </w:r>
    </w:p>
  </w:endnote>
  <w:endnote w:type="continuationSeparator" w:id="0">
    <w:p w14:paraId="7C248C99" w14:textId="77777777" w:rsidR="006D4A7D" w:rsidRDefault="006D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6652" w14:textId="77777777" w:rsidR="00100D50" w:rsidRDefault="00100D5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fldChar w:fldCharType="end"/>
    </w:r>
  </w:p>
  <w:p w14:paraId="59A33FDD" w14:textId="77777777" w:rsidR="00100D50" w:rsidRDefault="00100D5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BF883" w14:textId="77777777" w:rsidR="00100D50" w:rsidRDefault="00100D50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C7D13" w14:textId="77777777" w:rsidR="006D4A7D" w:rsidRDefault="006D4A7D">
      <w:r>
        <w:separator/>
      </w:r>
    </w:p>
    <w:p w14:paraId="52573272" w14:textId="77777777" w:rsidR="006D4A7D" w:rsidRDefault="006D4A7D"/>
  </w:footnote>
  <w:footnote w:type="continuationSeparator" w:id="0">
    <w:p w14:paraId="39CDEFED" w14:textId="77777777" w:rsidR="006D4A7D" w:rsidRDefault="006D4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723F" w14:textId="77777777" w:rsidR="00100D50" w:rsidRDefault="00100D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25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F3"/>
    <w:rsid w:val="000363B2"/>
    <w:rsid w:val="00100D50"/>
    <w:rsid w:val="001244C8"/>
    <w:rsid w:val="001E1FED"/>
    <w:rsid w:val="001E6495"/>
    <w:rsid w:val="00291EC0"/>
    <w:rsid w:val="002A3FF3"/>
    <w:rsid w:val="003558E5"/>
    <w:rsid w:val="00372CF1"/>
    <w:rsid w:val="003E1C65"/>
    <w:rsid w:val="0041020D"/>
    <w:rsid w:val="00495611"/>
    <w:rsid w:val="004C3266"/>
    <w:rsid w:val="004D5C14"/>
    <w:rsid w:val="004D7C13"/>
    <w:rsid w:val="004E3472"/>
    <w:rsid w:val="004F3CBF"/>
    <w:rsid w:val="00530A59"/>
    <w:rsid w:val="00581CB1"/>
    <w:rsid w:val="005967CF"/>
    <w:rsid w:val="005B1802"/>
    <w:rsid w:val="00647CC9"/>
    <w:rsid w:val="006A05FF"/>
    <w:rsid w:val="006D4A7D"/>
    <w:rsid w:val="006D55DE"/>
    <w:rsid w:val="007765F3"/>
    <w:rsid w:val="00781466"/>
    <w:rsid w:val="00784650"/>
    <w:rsid w:val="00893AF2"/>
    <w:rsid w:val="00895339"/>
    <w:rsid w:val="00953C80"/>
    <w:rsid w:val="00954D8D"/>
    <w:rsid w:val="00A037F3"/>
    <w:rsid w:val="00A54090"/>
    <w:rsid w:val="00A726B8"/>
    <w:rsid w:val="00A91D42"/>
    <w:rsid w:val="00B5198E"/>
    <w:rsid w:val="00C03643"/>
    <w:rsid w:val="00C702A6"/>
    <w:rsid w:val="00C83DA5"/>
    <w:rsid w:val="00CA5128"/>
    <w:rsid w:val="00CE20CA"/>
    <w:rsid w:val="00CF3996"/>
    <w:rsid w:val="00D07D72"/>
    <w:rsid w:val="00D162F3"/>
    <w:rsid w:val="00D3334B"/>
    <w:rsid w:val="00D35F28"/>
    <w:rsid w:val="00D72A02"/>
    <w:rsid w:val="00D8615C"/>
    <w:rsid w:val="00DC3929"/>
    <w:rsid w:val="00DE4205"/>
    <w:rsid w:val="00E560F3"/>
    <w:rsid w:val="00ED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460B1A5C"/>
  <w15:chartTrackingRefBased/>
  <w15:docId w15:val="{A39CF017-6AE1-403A-9135-74A738EE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Cs w:val="24"/>
      <w:lang w:val="de-DE" w:eastAsia="ja-JP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itle">
    <w:name w:val="Title"/>
    <w:basedOn w:val="Standard"/>
    <w:next w:val="Standard"/>
    <w:pPr>
      <w:spacing w:before="240" w:after="240" w:line="230" w:lineRule="exact"/>
    </w:pPr>
    <w:rPr>
      <w:b/>
      <w:sz w:val="32"/>
    </w:rPr>
  </w:style>
  <w:style w:type="paragraph" w:customStyle="1" w:styleId="Authors">
    <w:name w:val="Authors"/>
    <w:basedOn w:val="Standard"/>
    <w:pPr>
      <w:spacing w:after="360" w:line="230" w:lineRule="exact"/>
    </w:pPr>
    <w:rPr>
      <w:i/>
      <w:sz w:val="25"/>
    </w:rPr>
  </w:style>
  <w:style w:type="paragraph" w:customStyle="1" w:styleId="Dedication">
    <w:name w:val="Dedication"/>
    <w:basedOn w:val="Standard"/>
    <w:pPr>
      <w:spacing w:before="230" w:after="240" w:line="230" w:lineRule="exact"/>
      <w:contextualSpacing/>
    </w:pPr>
    <w:rPr>
      <w:i/>
      <w:sz w:val="18"/>
    </w:rPr>
  </w:style>
  <w:style w:type="paragraph" w:customStyle="1" w:styleId="P1withoutIndendation">
    <w:name w:val="P1_without_Indendation"/>
    <w:basedOn w:val="Standard"/>
    <w:pPr>
      <w:spacing w:line="230" w:lineRule="exact"/>
      <w:jc w:val="both"/>
    </w:pPr>
    <w:rPr>
      <w:sz w:val="18"/>
    </w:rPr>
  </w:style>
  <w:style w:type="paragraph" w:customStyle="1" w:styleId="History">
    <w:name w:val="History"/>
    <w:basedOn w:val="Standard"/>
    <w:pPr>
      <w:spacing w:before="280" w:after="280" w:line="200" w:lineRule="exact"/>
    </w:pPr>
    <w:rPr>
      <w:rFonts w:ascii="Arial" w:hAnsi="Arial"/>
      <w:sz w:val="16"/>
    </w:rPr>
  </w:style>
  <w:style w:type="paragraph" w:customStyle="1" w:styleId="Adress">
    <w:name w:val="Adress"/>
    <w:basedOn w:val="Standard"/>
    <w:pPr>
      <w:spacing w:before="230" w:line="200" w:lineRule="exact"/>
      <w:ind w:left="425" w:hanging="425"/>
    </w:pPr>
    <w:rPr>
      <w:rFonts w:ascii="Arial" w:hAnsi="Arial"/>
      <w:sz w:val="16"/>
      <w:szCs w:val="20"/>
    </w:rPr>
  </w:style>
  <w:style w:type="paragraph" w:customStyle="1" w:styleId="Footnote">
    <w:name w:val="Footnote"/>
    <w:basedOn w:val="Adress"/>
    <w:pPr>
      <w:spacing w:before="120"/>
    </w:pPr>
  </w:style>
  <w:style w:type="paragraph" w:customStyle="1" w:styleId="References">
    <w:name w:val="References"/>
    <w:basedOn w:val="Standard"/>
    <w:pPr>
      <w:spacing w:line="200" w:lineRule="exact"/>
      <w:ind w:left="425" w:hanging="425"/>
    </w:pPr>
    <w:rPr>
      <w:sz w:val="16"/>
      <w:lang w:val="en-GB"/>
    </w:rPr>
  </w:style>
  <w:style w:type="paragraph" w:customStyle="1" w:styleId="SubjectHeading">
    <w:name w:val="SubjectHeading"/>
    <w:basedOn w:val="Standard"/>
    <w:pPr>
      <w:spacing w:before="60" w:after="60" w:line="230" w:lineRule="exact"/>
    </w:pPr>
    <w:rPr>
      <w:rFonts w:ascii="Arial" w:hAnsi="Arial"/>
      <w:b/>
      <w:i/>
      <w:color w:val="FFFFFF"/>
      <w:sz w:val="21"/>
      <w:szCs w:val="18"/>
    </w:rPr>
  </w:style>
  <w:style w:type="paragraph" w:customStyle="1" w:styleId="ExperimentalSection">
    <w:name w:val="ExperimentalSection"/>
    <w:basedOn w:val="Standard"/>
    <w:pPr>
      <w:spacing w:line="200" w:lineRule="exact"/>
      <w:jc w:val="both"/>
    </w:pPr>
    <w:rPr>
      <w:rFonts w:ascii="Arial" w:hAnsi="Arial"/>
      <w:sz w:val="16"/>
      <w:lang w:val="en-GB"/>
    </w:rPr>
  </w:style>
  <w:style w:type="paragraph" w:customStyle="1" w:styleId="HExperimentalSection">
    <w:name w:val="HExperimental_Section"/>
    <w:basedOn w:val="Standard"/>
    <w:pPr>
      <w:spacing w:before="460" w:after="230" w:line="230" w:lineRule="atLeast"/>
    </w:pPr>
    <w:rPr>
      <w:rFonts w:ascii="Arial" w:hAnsi="Arial"/>
      <w:b/>
      <w:i/>
      <w:sz w:val="22"/>
    </w:rPr>
  </w:style>
  <w:style w:type="paragraph" w:customStyle="1" w:styleId="SchemeCaption">
    <w:name w:val="SchemeCaption"/>
    <w:basedOn w:val="Standard"/>
    <w:pPr>
      <w:spacing w:before="230" w:after="460" w:line="200" w:lineRule="exact"/>
    </w:pPr>
    <w:rPr>
      <w:rFonts w:ascii="Arial" w:hAnsi="Arial"/>
      <w:sz w:val="16"/>
      <w:lang w:val="en-GB"/>
    </w:rPr>
  </w:style>
  <w:style w:type="paragraph" w:customStyle="1" w:styleId="FigureCaption">
    <w:name w:val="FigureCaption"/>
    <w:basedOn w:val="Standard"/>
    <w:pPr>
      <w:spacing w:before="230" w:after="460" w:line="200" w:lineRule="exact"/>
    </w:pPr>
    <w:rPr>
      <w:rFonts w:ascii="Arial" w:hAnsi="Arial"/>
      <w:sz w:val="16"/>
    </w:rPr>
  </w:style>
  <w:style w:type="paragraph" w:customStyle="1" w:styleId="TableCaption">
    <w:name w:val="TableCaption"/>
    <w:basedOn w:val="Standard"/>
    <w:pPr>
      <w:spacing w:before="230" w:after="120" w:line="200" w:lineRule="exact"/>
    </w:pPr>
    <w:rPr>
      <w:rFonts w:ascii="Arial" w:hAnsi="Arial"/>
      <w:sz w:val="16"/>
      <w:lang w:val="en-GB"/>
    </w:rPr>
  </w:style>
  <w:style w:type="paragraph" w:customStyle="1" w:styleId="TableHead">
    <w:name w:val="TableHead"/>
    <w:basedOn w:val="TableCaption"/>
    <w:pPr>
      <w:spacing w:before="60" w:after="60"/>
    </w:pPr>
  </w:style>
  <w:style w:type="paragraph" w:customStyle="1" w:styleId="TableBody">
    <w:name w:val="TableBody"/>
    <w:basedOn w:val="Standard"/>
    <w:pPr>
      <w:spacing w:line="230" w:lineRule="exact"/>
    </w:pPr>
    <w:rPr>
      <w:rFonts w:ascii="Arial" w:hAnsi="Arial"/>
      <w:sz w:val="16"/>
    </w:rPr>
  </w:style>
  <w:style w:type="paragraph" w:customStyle="1" w:styleId="TableFoot">
    <w:name w:val="TableFoot"/>
    <w:basedOn w:val="Standard"/>
    <w:pPr>
      <w:spacing w:after="460" w:line="230" w:lineRule="exact"/>
    </w:pPr>
    <w:rPr>
      <w:rFonts w:ascii="Arial" w:hAnsi="Arial"/>
      <w:sz w:val="16"/>
    </w:rPr>
  </w:style>
  <w:style w:type="paragraph" w:customStyle="1" w:styleId="Keywords">
    <w:name w:val="Keywords"/>
    <w:basedOn w:val="Standard"/>
    <w:pPr>
      <w:spacing w:before="230" w:after="460" w:line="230" w:lineRule="exact"/>
    </w:pPr>
    <w:rPr>
      <w:rFonts w:ascii="Arial" w:hAnsi="Arial"/>
      <w:sz w:val="16"/>
      <w:lang w:val="en-GB"/>
    </w:rPr>
  </w:style>
  <w:style w:type="paragraph" w:customStyle="1" w:styleId="ManuscriptID">
    <w:name w:val="ManuscriptID"/>
    <w:basedOn w:val="Standard"/>
    <w:pPr>
      <w:spacing w:after="120" w:line="230" w:lineRule="exact"/>
      <w:jc w:val="right"/>
    </w:pPr>
    <w:rPr>
      <w:rFonts w:ascii="Arial" w:hAnsi="Arial"/>
      <w:sz w:val="18"/>
      <w:lang w:val="en-GB"/>
    </w:rPr>
  </w:style>
  <w:style w:type="paragraph" w:customStyle="1" w:styleId="AuthorsTOC">
    <w:name w:val="Authors_TOC"/>
    <w:basedOn w:val="Authors"/>
    <w:pPr>
      <w:spacing w:before="230" w:after="0"/>
    </w:pPr>
    <w:rPr>
      <w:rFonts w:ascii="Arial" w:hAnsi="Arial"/>
      <w:i w:val="0"/>
      <w:sz w:val="18"/>
      <w:lang w:val="en-GB"/>
    </w:rPr>
  </w:style>
  <w:style w:type="paragraph" w:customStyle="1" w:styleId="TitleTOC">
    <w:name w:val="Title_TOC"/>
    <w:basedOn w:val="AuthorsTOC"/>
    <w:pPr>
      <w:spacing w:before="320"/>
    </w:pPr>
  </w:style>
  <w:style w:type="paragraph" w:customStyle="1" w:styleId="TableOfContentText">
    <w:name w:val="TableOfContentText"/>
    <w:basedOn w:val="AuthorsTOC"/>
    <w:pPr>
      <w:spacing w:before="120"/>
    </w:pPr>
  </w:style>
  <w:style w:type="paragraph" w:customStyle="1" w:styleId="P1withIndendation">
    <w:name w:val="P1_with_Indendation"/>
    <w:basedOn w:val="TableCaption"/>
    <w:pPr>
      <w:spacing w:before="0" w:after="0" w:line="230" w:lineRule="exact"/>
      <w:ind w:firstLine="284"/>
      <w:jc w:val="both"/>
    </w:pPr>
    <w:rPr>
      <w:rFonts w:ascii="Times New Roman" w:hAnsi="Times New Roman"/>
      <w:sz w:val="18"/>
    </w:rPr>
  </w:style>
  <w:style w:type="paragraph" w:customStyle="1" w:styleId="SubjectHeadingTOC">
    <w:name w:val="SubjectHeading_TOC"/>
    <w:basedOn w:val="SubjectHeading"/>
    <w:rPr>
      <w:lang w:val="en-GB"/>
    </w:rPr>
  </w:style>
  <w:style w:type="paragraph" w:styleId="Textkrper3">
    <w:name w:val="Body Text 3"/>
    <w:aliases w:val="Fließtext"/>
    <w:basedOn w:val="Standard"/>
    <w:pPr>
      <w:spacing w:line="480" w:lineRule="auto"/>
      <w:jc w:val="both"/>
    </w:pPr>
    <w:rPr>
      <w:rFonts w:eastAsia="Times New Roman"/>
      <w:sz w:val="24"/>
      <w:szCs w:val="20"/>
      <w:lang w:val="en-US" w:eastAsia="de-DE"/>
    </w:rPr>
  </w:style>
  <w:style w:type="character" w:styleId="Hyperlink">
    <w:name w:val="Hyperlink"/>
    <w:rsid w:val="005967CF"/>
    <w:rPr>
      <w:color w:val="0000FF"/>
      <w:u w:val="single"/>
    </w:rPr>
  </w:style>
  <w:style w:type="paragraph" w:customStyle="1" w:styleId="Affiliation">
    <w:name w:val="Affiliation"/>
    <w:basedOn w:val="Dedication"/>
    <w:rsid w:val="00C83DA5"/>
    <w:rPr>
      <w:lang w:val="en-US"/>
    </w:rPr>
  </w:style>
  <w:style w:type="paragraph" w:customStyle="1" w:styleId="Subsection">
    <w:name w:val="Subsection"/>
    <w:basedOn w:val="SubjectHeading"/>
    <w:rsid w:val="00C702A6"/>
    <w:pPr>
      <w:spacing w:before="180" w:after="180"/>
    </w:pPr>
    <w:rPr>
      <w:color w:val="auto"/>
    </w:rPr>
  </w:style>
  <w:style w:type="table" w:styleId="Tabellenraster">
    <w:name w:val="Table Grid"/>
    <w:basedOn w:val="NormaleTabelle"/>
    <w:rsid w:val="00D8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9ptBlock">
    <w:name w:val="Formatvorlage 9 pt Block"/>
    <w:basedOn w:val="Standard"/>
    <w:rsid w:val="00291EC0"/>
    <w:pPr>
      <w:jc w:val="both"/>
    </w:pPr>
    <w:rPr>
      <w:rFonts w:eastAsia="Times New Roman"/>
      <w:szCs w:val="20"/>
    </w:rPr>
  </w:style>
  <w:style w:type="paragraph" w:styleId="Fuzeile">
    <w:name w:val="footer"/>
    <w:basedOn w:val="Standard"/>
    <w:rsid w:val="00C0364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03643"/>
  </w:style>
  <w:style w:type="paragraph" w:styleId="Kopfzeile">
    <w:name w:val="header"/>
    <w:basedOn w:val="Standard"/>
    <w:rsid w:val="00C0364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ati.ac.at/saagas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Georg\LOKALE~1\Temp\Rar$DI01.185\2001_communicatio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2001_communication.dot</Template>
  <TotalTime>0</TotalTime>
  <Pages>1</Pages>
  <Words>374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SAAGAS 22 template dt</vt:lpstr>
    </vt:vector>
  </TitlesOfParts>
  <Company>ASER</Company>
  <LinksUpToDate>false</LinksUpToDate>
  <CharactersWithSpaces>2728</CharactersWithSpaces>
  <SharedDoc>false</SharedDoc>
  <HLinks>
    <vt:vector size="6" baseType="variant">
      <vt:variant>
        <vt:i4>5832786</vt:i4>
      </vt:variant>
      <vt:variant>
        <vt:i4>0</vt:i4>
      </vt:variant>
      <vt:variant>
        <vt:i4>0</vt:i4>
      </vt:variant>
      <vt:variant>
        <vt:i4>5</vt:i4>
      </vt:variant>
      <vt:variant>
        <vt:lpwstr>http://www.ati.ac.at/saagas22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SAAGAS 22 template dt</dc:title>
  <dc:subject/>
  <dc:creator>saagas22@ati.ac.at</dc:creator>
  <cp:keywords/>
  <dc:description/>
  <cp:lastModifiedBy>Johannes Sterba</cp:lastModifiedBy>
  <cp:revision>2</cp:revision>
  <cp:lastPrinted>2008-03-03T12:10:00Z</cp:lastPrinted>
  <dcterms:created xsi:type="dcterms:W3CDTF">2024-06-19T15:07:00Z</dcterms:created>
  <dcterms:modified xsi:type="dcterms:W3CDTF">2024-06-19T15:07:00Z</dcterms:modified>
</cp:coreProperties>
</file>